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5145"/>
        <w:gridCol w:w="3330"/>
      </w:tblGrid>
      <w:tr w:rsidR="00747A49" w14:paraId="43CEA31A" w14:textId="77777777" w:rsidTr="00E41F34">
        <w:trPr>
          <w:trHeight w:val="801"/>
        </w:trPr>
        <w:tc>
          <w:tcPr>
            <w:tcW w:w="9810" w:type="dxa"/>
            <w:gridSpan w:val="3"/>
            <w:vAlign w:val="center"/>
          </w:tcPr>
          <w:p w14:paraId="7464383E" w14:textId="046DFAF1" w:rsidR="00747A49" w:rsidRPr="0006534F" w:rsidRDefault="00E41F34" w:rsidP="001F148F">
            <w:pPr>
              <w:pStyle w:val="Title"/>
              <w:rPr>
                <w:b/>
                <w:bCs/>
              </w:rPr>
            </w:pPr>
            <w:r>
              <w:rPr>
                <w:b/>
                <w:bCs/>
              </w:rPr>
              <w:t>Building Sovereign AI</w:t>
            </w:r>
          </w:p>
        </w:tc>
      </w:tr>
      <w:tr w:rsidR="00747A49" w14:paraId="219481BC" w14:textId="77777777" w:rsidTr="00E41F34">
        <w:trPr>
          <w:trHeight w:val="1708"/>
        </w:trPr>
        <w:tc>
          <w:tcPr>
            <w:tcW w:w="1335" w:type="dxa"/>
            <w:vAlign w:val="center"/>
          </w:tcPr>
          <w:p w14:paraId="6953EA98" w14:textId="77777777" w:rsidR="00747A49" w:rsidRPr="00636088" w:rsidRDefault="00747A49" w:rsidP="001F148F">
            <w:pPr>
              <w:rPr>
                <w:sz w:val="20"/>
                <w:szCs w:val="20"/>
              </w:rPr>
            </w:pPr>
            <w:r>
              <w:rPr>
                <w:noProof/>
                <w:sz w:val="20"/>
                <w:szCs w:val="20"/>
              </w:rPr>
              <w:drawing>
                <wp:inline distT="0" distB="0" distL="0" distR="0" wp14:anchorId="4E913473" wp14:editId="3395F366">
                  <wp:extent cx="450850" cy="450850"/>
                  <wp:effectExtent l="0" t="0" r="6350" b="6350"/>
                  <wp:docPr id="275272843" name="Picture 7" descr="Joe Cupa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05" descr="Joe Cupan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inline>
              </w:drawing>
            </w:r>
          </w:p>
        </w:tc>
        <w:tc>
          <w:tcPr>
            <w:tcW w:w="5145" w:type="dxa"/>
            <w:vAlign w:val="center"/>
          </w:tcPr>
          <w:p w14:paraId="535BB45E" w14:textId="77777777" w:rsidR="00747A49" w:rsidRPr="008A2652" w:rsidRDefault="00747A49" w:rsidP="001F148F">
            <w:pPr>
              <w:spacing w:after="160" w:line="278" w:lineRule="auto"/>
              <w:rPr>
                <w:rStyle w:val="Hyperlink"/>
                <w:sz w:val="20"/>
                <w:szCs w:val="20"/>
              </w:rPr>
            </w:pPr>
            <w:r>
              <w:rPr>
                <w:sz w:val="20"/>
                <w:szCs w:val="20"/>
              </w:rPr>
              <w:fldChar w:fldCharType="begin"/>
            </w:r>
            <w:r>
              <w:rPr>
                <w:sz w:val="20"/>
                <w:szCs w:val="20"/>
              </w:rPr>
              <w:instrText>HYPERLINK "https://www.linkedin.com/in/cupano/"</w:instrText>
            </w:r>
            <w:r>
              <w:rPr>
                <w:sz w:val="20"/>
                <w:szCs w:val="20"/>
              </w:rPr>
            </w:r>
            <w:r>
              <w:rPr>
                <w:sz w:val="20"/>
                <w:szCs w:val="20"/>
              </w:rPr>
              <w:fldChar w:fldCharType="separate"/>
            </w:r>
            <w:r>
              <w:rPr>
                <w:rStyle w:val="Hyperlink"/>
                <w:b/>
                <w:bCs/>
                <w:sz w:val="20"/>
                <w:szCs w:val="20"/>
              </w:rPr>
              <w:t xml:space="preserve">Joe Cupano </w:t>
            </w:r>
          </w:p>
          <w:p w14:paraId="00234A40" w14:textId="6A56D0C2" w:rsidR="00747A49" w:rsidRPr="008A2652" w:rsidRDefault="00747A49" w:rsidP="001F148F">
            <w:pPr>
              <w:rPr>
                <w:sz w:val="20"/>
                <w:szCs w:val="20"/>
              </w:rPr>
            </w:pPr>
            <w:r>
              <w:rPr>
                <w:sz w:val="20"/>
                <w:szCs w:val="20"/>
              </w:rPr>
              <w:fldChar w:fldCharType="end"/>
            </w:r>
            <w:r>
              <w:rPr>
                <w:sz w:val="20"/>
                <w:szCs w:val="20"/>
              </w:rPr>
              <w:t xml:space="preserve">Global CTO, Strategy and Innovation (Cloud, AI, Security) </w:t>
            </w:r>
          </w:p>
        </w:tc>
        <w:tc>
          <w:tcPr>
            <w:tcW w:w="3326" w:type="dxa"/>
          </w:tcPr>
          <w:p w14:paraId="64E43364" w14:textId="77777777" w:rsidR="00747A49" w:rsidRPr="008A2652" w:rsidRDefault="00747A49" w:rsidP="001F148F">
            <w:pPr>
              <w:rPr>
                <w:sz w:val="20"/>
                <w:szCs w:val="20"/>
              </w:rPr>
            </w:pPr>
            <w:r>
              <w:rPr>
                <w:noProof/>
              </w:rPr>
              <w:drawing>
                <wp:inline distT="0" distB="0" distL="0" distR="0" wp14:anchorId="1AA75ECF" wp14:editId="21ECDB01">
                  <wp:extent cx="1816100" cy="1022450"/>
                  <wp:effectExtent l="0" t="0" r="0" b="6350"/>
                  <wp:docPr id="488472737" name="Picture 4" descr="Cartoon with help from ChatGP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01" descr="Cartoon with help from ChatGP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7249" cy="1028727"/>
                          </a:xfrm>
                          <a:prstGeom prst="rect">
                            <a:avLst/>
                          </a:prstGeom>
                          <a:noFill/>
                          <a:ln>
                            <a:noFill/>
                          </a:ln>
                        </pic:spPr>
                      </pic:pic>
                    </a:graphicData>
                  </a:graphic>
                </wp:inline>
              </w:drawing>
            </w:r>
          </w:p>
        </w:tc>
      </w:tr>
    </w:tbl>
    <w:p w14:paraId="5941DB91" w14:textId="17C2E8F7" w:rsidR="00747A49" w:rsidRPr="00C81279" w:rsidRDefault="00D460DB" w:rsidP="00747A49">
      <w:pPr>
        <w:rPr>
          <w:rStyle w:val="IntenseEmphasis"/>
          <w:i w:val="0"/>
          <w:iCs w:val="0"/>
          <w:sz w:val="20"/>
          <w:szCs w:val="20"/>
        </w:rPr>
      </w:pPr>
      <w:r>
        <w:rPr>
          <w:rStyle w:val="IntenseEmphasis"/>
          <w:i w:val="0"/>
          <w:iCs w:val="0"/>
          <w:sz w:val="20"/>
          <w:szCs w:val="20"/>
        </w:rPr>
        <w:t>March 11, 2026</w:t>
      </w:r>
    </w:p>
    <w:p w14:paraId="598628B1" w14:textId="7B22498B" w:rsidR="00C5526C" w:rsidRDefault="00C5526C" w:rsidP="006F3A64">
      <w:pPr>
        <w:pStyle w:val="Heading1"/>
      </w:pPr>
      <w:bookmarkStart w:id="0" w:name="_Toc224031101"/>
      <w:r>
        <w:t>Introduction</w:t>
      </w:r>
      <w:bookmarkEnd w:id="0"/>
    </w:p>
    <w:p w14:paraId="4EC2FA10" w14:textId="1069F6BA" w:rsidR="00C5526C" w:rsidRPr="00C5526C" w:rsidRDefault="00C5526C" w:rsidP="00C5526C">
      <w:r>
        <w:rPr>
          <w:b/>
          <w:bCs/>
        </w:rPr>
        <w:t>Artificial Intelligence (AI)</w:t>
      </w:r>
      <w:r>
        <w:t xml:space="preserve"> has altered the risk landscape of modern digital infrastructure. Never has sensitive data been made so accessible, so reusable, and so difficult to manage at scale. </w:t>
      </w:r>
      <w:r>
        <w:rPr>
          <w:b/>
          <w:bCs/>
        </w:rPr>
        <w:t>Large Language Models (LLMs),</w:t>
      </w:r>
      <w:r>
        <w:t xml:space="preserve"> trained on vast and often opaque datasets, now sit at the core of widely deployed systems capable of generating, summarizing, and reasoning over information that may include sensitive, proprietary, or regulated data. These models inherit not only the power of their training data, but also </w:t>
      </w:r>
      <w:r>
        <w:rPr>
          <w:b/>
          <w:bCs/>
        </w:rPr>
        <w:t>any inaccuracies, biases, and questionable provenance</w:t>
      </w:r>
      <w:r>
        <w:t xml:space="preserve">. The rise of </w:t>
      </w:r>
      <w:r>
        <w:rPr>
          <w:b/>
          <w:bCs/>
        </w:rPr>
        <w:t>agentic AI</w:t>
      </w:r>
      <w:r>
        <w:t>, systems capable of operating autonomously and making decisions without continuous human oversight, further amplifies both the opportunity and the risk.</w:t>
      </w:r>
    </w:p>
    <w:p w14:paraId="090B6696" w14:textId="77777777" w:rsidR="009E0BB9" w:rsidRDefault="00C5526C" w:rsidP="00C5526C">
      <w:r>
        <w:t xml:space="preserve">At the same time, cloud computing has become the default platform for AI, concentrating compute, data, and operational control within a small number of global hyperscale providers. While this model has delivered scalability and innovation, it has also exposed a critical weakness: </w:t>
      </w:r>
    </w:p>
    <w:p w14:paraId="7A336664" w14:textId="77777777" w:rsidR="009E0BB9" w:rsidRDefault="009E0BB9" w:rsidP="008C6E7C">
      <w:pPr>
        <w:pStyle w:val="ListParagraph"/>
        <w:numPr>
          <w:ilvl w:val="0"/>
          <w:numId w:val="35"/>
        </w:numPr>
      </w:pPr>
      <w:r>
        <w:t xml:space="preserve">Traditional notions of </w:t>
      </w:r>
      <w:r>
        <w:rPr>
          <w:b/>
          <w:bCs/>
        </w:rPr>
        <w:t xml:space="preserve">data residency </w:t>
      </w:r>
      <w:r>
        <w:t>are no longer sufficient to guarantee control.</w:t>
      </w:r>
    </w:p>
    <w:p w14:paraId="103E9431" w14:textId="77777777" w:rsidR="009E0BB9" w:rsidRDefault="00C5526C" w:rsidP="008C6E7C">
      <w:pPr>
        <w:pStyle w:val="ListParagraph"/>
        <w:numPr>
          <w:ilvl w:val="0"/>
          <w:numId w:val="35"/>
        </w:numPr>
      </w:pPr>
      <w:r>
        <w:rPr>
          <w:b/>
          <w:bCs/>
        </w:rPr>
        <w:t>Legal jurisdiction</w:t>
      </w:r>
      <w:r>
        <w:t xml:space="preserve">, provider nationality, and extraterritorial laws increasingly determine </w:t>
      </w:r>
      <w:r>
        <w:rPr>
          <w:i/>
          <w:iCs/>
          <w:u w:val="single"/>
        </w:rPr>
        <w:t>who can access data</w:t>
      </w:r>
      <w:r>
        <w:rPr>
          <w:i/>
          <w:iCs/>
        </w:rPr>
        <w:t xml:space="preserve">, </w:t>
      </w:r>
      <w:r>
        <w:rPr>
          <w:i/>
          <w:iCs/>
          <w:u w:val="single"/>
        </w:rPr>
        <w:t>under what authority</w:t>
      </w:r>
      <w:r>
        <w:rPr>
          <w:i/>
          <w:iCs/>
        </w:rPr>
        <w:t>, and with</w:t>
      </w:r>
      <w:r>
        <w:rPr>
          <w:i/>
          <w:iCs/>
          <w:u w:val="single"/>
        </w:rPr>
        <w:t xml:space="preserve"> what oversight</w:t>
      </w:r>
      <w:r>
        <w:t>.</w:t>
      </w:r>
    </w:p>
    <w:p w14:paraId="0716DA5A" w14:textId="77777777" w:rsidR="005012E2" w:rsidRDefault="00C5526C" w:rsidP="00EA12E2">
      <w:r>
        <w:t xml:space="preserve">This guide covers Sovereign AI from a nation-neutral perspective when it comes to legal and data protection as securing intellectual property for a person, corporation, or nation. The approach is through the lens of </w:t>
      </w:r>
      <w:r>
        <w:rPr>
          <w:b/>
          <w:bCs/>
        </w:rPr>
        <w:t>supply chain security and chain</w:t>
      </w:r>
      <w:r>
        <w:rPr>
          <w:b/>
          <w:bCs/>
        </w:rPr>
        <w:noBreakHyphen/>
        <w:t>of</w:t>
      </w:r>
      <w:r>
        <w:rPr>
          <w:b/>
          <w:bCs/>
        </w:rPr>
        <w:noBreakHyphen/>
        <w:t>custody</w:t>
      </w:r>
      <w:r>
        <w:t xml:space="preserve"> starting from the minerals and manufacturing of silicon through controls across procurement, systems integration, data centers, networks, cloud environments, and the AI software stack.</w:t>
      </w:r>
    </w:p>
    <w:p w14:paraId="6D560A30" w14:textId="0FF67984" w:rsidR="00C00495" w:rsidRDefault="00A12FF9" w:rsidP="00EA12E2">
      <w:r>
        <w:t xml:space="preserve">This guide goes deep, helping you decide where your </w:t>
      </w:r>
      <w:r>
        <w:rPr>
          <w:b/>
          <w:bCs/>
        </w:rPr>
        <w:t>root of trust</w:t>
      </w:r>
      <w:r>
        <w:t xml:space="preserve"> begins and managing risks relative to your needs. Controls discussed will be familiar to governance, risk, compliance, and cybersecurity professionals enabling </w:t>
      </w:r>
      <w:r>
        <w:rPr>
          <w:b/>
          <w:bCs/>
        </w:rPr>
        <w:t>demonstrable, auditable, and legally defensible sovereignty</w:t>
      </w:r>
      <w:r>
        <w:t xml:space="preserve">, even in a world of unavoidable global dependencies. Readers who accept hardware-level risk as a given may skip directly to the </w:t>
      </w:r>
      <w:r>
        <w:rPr>
          <w:b/>
          <w:bCs/>
        </w:rPr>
        <w:t>Systems</w:t>
      </w:r>
      <w:r>
        <w:t xml:space="preserve"> section.</w:t>
      </w:r>
      <w:r>
        <w:br w:type="page"/>
      </w:r>
    </w:p>
    <w:sdt>
      <w:sdtPr>
        <w:rPr>
          <w:rFonts w:asciiTheme="minorHAnsi" w:eastAsiaTheme="minorHAnsi" w:hAnsiTheme="minorHAnsi" w:cstheme="minorBidi"/>
          <w:b w:val="0"/>
          <w:color w:val="auto"/>
          <w:kern w:val="2"/>
          <w:sz w:val="24"/>
          <w:szCs w:val="24"/>
          <w14:ligatures w14:val="standardContextual"/>
        </w:rPr>
        <w:id w:val="1020286272"/>
        <w:docPartObj>
          <w:docPartGallery w:val="Table of Contents"/>
          <w:docPartUnique/>
        </w:docPartObj>
      </w:sdtPr>
      <w:sdtEndPr>
        <w:rPr>
          <w:rFonts w:ascii="Calibri" w:hAnsi="Calibri"/>
          <w:bCs/>
          <w:noProof/>
          <w:sz w:val="22"/>
        </w:rPr>
      </w:sdtEndPr>
      <w:sdtContent>
        <w:p w14:paraId="3AD8DA67" w14:textId="159C0B41" w:rsidR="00C00495" w:rsidRDefault="00C00495">
          <w:pPr>
            <w:pStyle w:val="TOCHeading"/>
          </w:pPr>
          <w:r>
            <w:t>Contents</w:t>
          </w:r>
        </w:p>
        <w:p w14:paraId="4C022244" w14:textId="247D58B0" w:rsidR="00F34611" w:rsidRDefault="00C00495">
          <w:pPr>
            <w:pStyle w:val="TOC1"/>
            <w:tabs>
              <w:tab w:val="right" w:leader="dot" w:pos="9350"/>
            </w:tabs>
            <w:rPr>
              <w:rFonts w:asciiTheme="minorHAnsi" w:eastAsiaTheme="minorEastAsia" w:hAnsiTheme="minorHAnsi"/>
              <w:noProof/>
              <w:sz w:val="24"/>
            </w:rPr>
          </w:pPr>
          <w:r>
            <w:fldChar w:fldCharType="begin"/>
          </w:r>
          <w:r>
            <w:instrText xml:space="preserve"> TOC \o "1-3" \h \z \u </w:instrText>
          </w:r>
          <w:r>
            <w:fldChar w:fldCharType="separate"/>
          </w:r>
          <w:hyperlink w:anchor="_Toc224031101" w:history="1">
            <w:r w:rsidR="00F34611" w:rsidRPr="004F7C2C">
              <w:rPr>
                <w:rStyle w:val="Hyperlink"/>
                <w:noProof/>
              </w:rPr>
              <w:t>Introduction</w:t>
            </w:r>
            <w:r w:rsidR="00F34611">
              <w:rPr>
                <w:noProof/>
                <w:webHidden/>
              </w:rPr>
              <w:tab/>
            </w:r>
            <w:r w:rsidR="00F34611">
              <w:rPr>
                <w:noProof/>
                <w:webHidden/>
              </w:rPr>
              <w:fldChar w:fldCharType="begin"/>
            </w:r>
            <w:r w:rsidR="00F34611">
              <w:rPr>
                <w:noProof/>
                <w:webHidden/>
              </w:rPr>
              <w:instrText xml:space="preserve"> PAGEREF _Toc224031101 \h </w:instrText>
            </w:r>
            <w:r w:rsidR="00F34611">
              <w:rPr>
                <w:noProof/>
                <w:webHidden/>
              </w:rPr>
            </w:r>
            <w:r w:rsidR="00F34611">
              <w:rPr>
                <w:noProof/>
                <w:webHidden/>
              </w:rPr>
              <w:fldChar w:fldCharType="separate"/>
            </w:r>
            <w:r w:rsidR="00F34611">
              <w:rPr>
                <w:noProof/>
                <w:webHidden/>
              </w:rPr>
              <w:t>1</w:t>
            </w:r>
            <w:r w:rsidR="00F34611">
              <w:rPr>
                <w:noProof/>
                <w:webHidden/>
              </w:rPr>
              <w:fldChar w:fldCharType="end"/>
            </w:r>
          </w:hyperlink>
        </w:p>
        <w:p w14:paraId="08E96C0A" w14:textId="221A5E4A" w:rsidR="00F34611" w:rsidRDefault="00F34611">
          <w:pPr>
            <w:pStyle w:val="TOC1"/>
            <w:tabs>
              <w:tab w:val="right" w:leader="dot" w:pos="9350"/>
            </w:tabs>
            <w:rPr>
              <w:rFonts w:asciiTheme="minorHAnsi" w:eastAsiaTheme="minorEastAsia" w:hAnsiTheme="minorHAnsi"/>
              <w:noProof/>
              <w:sz w:val="24"/>
            </w:rPr>
          </w:pPr>
          <w:hyperlink w:anchor="_Toc224031102" w:history="1">
            <w:r w:rsidRPr="004F7C2C">
              <w:rPr>
                <w:rStyle w:val="Hyperlink"/>
                <w:noProof/>
              </w:rPr>
              <w:t>Executive Summary</w:t>
            </w:r>
            <w:r>
              <w:rPr>
                <w:noProof/>
                <w:webHidden/>
              </w:rPr>
              <w:tab/>
            </w:r>
            <w:r>
              <w:rPr>
                <w:noProof/>
                <w:webHidden/>
              </w:rPr>
              <w:fldChar w:fldCharType="begin"/>
            </w:r>
            <w:r>
              <w:rPr>
                <w:noProof/>
                <w:webHidden/>
              </w:rPr>
              <w:instrText xml:space="preserve"> PAGEREF _Toc224031102 \h </w:instrText>
            </w:r>
            <w:r>
              <w:rPr>
                <w:noProof/>
                <w:webHidden/>
              </w:rPr>
            </w:r>
            <w:r>
              <w:rPr>
                <w:noProof/>
                <w:webHidden/>
              </w:rPr>
              <w:fldChar w:fldCharType="separate"/>
            </w:r>
            <w:r>
              <w:rPr>
                <w:noProof/>
                <w:webHidden/>
              </w:rPr>
              <w:t>5</w:t>
            </w:r>
            <w:r>
              <w:rPr>
                <w:noProof/>
                <w:webHidden/>
              </w:rPr>
              <w:fldChar w:fldCharType="end"/>
            </w:r>
          </w:hyperlink>
        </w:p>
        <w:p w14:paraId="7DE26D3B" w14:textId="5B254779" w:rsidR="00F34611" w:rsidRDefault="00F34611">
          <w:pPr>
            <w:pStyle w:val="TOC3"/>
            <w:tabs>
              <w:tab w:val="right" w:leader="dot" w:pos="9350"/>
            </w:tabs>
            <w:rPr>
              <w:rFonts w:asciiTheme="minorHAnsi" w:eastAsiaTheme="minorEastAsia" w:hAnsiTheme="minorHAnsi"/>
              <w:noProof/>
              <w:sz w:val="24"/>
            </w:rPr>
          </w:pPr>
          <w:hyperlink w:anchor="_Toc224031103" w:history="1">
            <w:r w:rsidRPr="004F7C2C">
              <w:rPr>
                <w:rStyle w:val="Hyperlink"/>
                <w:noProof/>
              </w:rPr>
              <w:t>Five Things Every Leader Must Know</w:t>
            </w:r>
            <w:r>
              <w:rPr>
                <w:noProof/>
                <w:webHidden/>
              </w:rPr>
              <w:tab/>
            </w:r>
            <w:r>
              <w:rPr>
                <w:noProof/>
                <w:webHidden/>
              </w:rPr>
              <w:fldChar w:fldCharType="begin"/>
            </w:r>
            <w:r>
              <w:rPr>
                <w:noProof/>
                <w:webHidden/>
              </w:rPr>
              <w:instrText xml:space="preserve"> PAGEREF _Toc224031103 \h </w:instrText>
            </w:r>
            <w:r>
              <w:rPr>
                <w:noProof/>
                <w:webHidden/>
              </w:rPr>
            </w:r>
            <w:r>
              <w:rPr>
                <w:noProof/>
                <w:webHidden/>
              </w:rPr>
              <w:fldChar w:fldCharType="separate"/>
            </w:r>
            <w:r>
              <w:rPr>
                <w:noProof/>
                <w:webHidden/>
              </w:rPr>
              <w:t>5</w:t>
            </w:r>
            <w:r>
              <w:rPr>
                <w:noProof/>
                <w:webHidden/>
              </w:rPr>
              <w:fldChar w:fldCharType="end"/>
            </w:r>
          </w:hyperlink>
        </w:p>
        <w:p w14:paraId="72857A13" w14:textId="1D419314" w:rsidR="00F34611" w:rsidRDefault="00F34611">
          <w:pPr>
            <w:pStyle w:val="TOC1"/>
            <w:tabs>
              <w:tab w:val="right" w:leader="dot" w:pos="9350"/>
            </w:tabs>
            <w:rPr>
              <w:rFonts w:asciiTheme="minorHAnsi" w:eastAsiaTheme="minorEastAsia" w:hAnsiTheme="minorHAnsi"/>
              <w:noProof/>
              <w:sz w:val="24"/>
            </w:rPr>
          </w:pPr>
          <w:hyperlink w:anchor="_Toc224031104" w:history="1">
            <w:r w:rsidRPr="004F7C2C">
              <w:rPr>
                <w:rStyle w:val="Hyperlink"/>
                <w:noProof/>
              </w:rPr>
              <w:t>What is Sovereign Cloud</w:t>
            </w:r>
            <w:r>
              <w:rPr>
                <w:noProof/>
                <w:webHidden/>
              </w:rPr>
              <w:tab/>
            </w:r>
            <w:r>
              <w:rPr>
                <w:noProof/>
                <w:webHidden/>
              </w:rPr>
              <w:fldChar w:fldCharType="begin"/>
            </w:r>
            <w:r>
              <w:rPr>
                <w:noProof/>
                <w:webHidden/>
              </w:rPr>
              <w:instrText xml:space="preserve"> PAGEREF _Toc224031104 \h </w:instrText>
            </w:r>
            <w:r>
              <w:rPr>
                <w:noProof/>
                <w:webHidden/>
              </w:rPr>
            </w:r>
            <w:r>
              <w:rPr>
                <w:noProof/>
                <w:webHidden/>
              </w:rPr>
              <w:fldChar w:fldCharType="separate"/>
            </w:r>
            <w:r>
              <w:rPr>
                <w:noProof/>
                <w:webHidden/>
              </w:rPr>
              <w:t>6</w:t>
            </w:r>
            <w:r>
              <w:rPr>
                <w:noProof/>
                <w:webHidden/>
              </w:rPr>
              <w:fldChar w:fldCharType="end"/>
            </w:r>
          </w:hyperlink>
        </w:p>
        <w:p w14:paraId="05A91EAC" w14:textId="53A85B8E" w:rsidR="00F34611" w:rsidRDefault="00F34611">
          <w:pPr>
            <w:pStyle w:val="TOC2"/>
            <w:tabs>
              <w:tab w:val="right" w:leader="dot" w:pos="9350"/>
            </w:tabs>
            <w:rPr>
              <w:rFonts w:asciiTheme="minorHAnsi" w:eastAsiaTheme="minorEastAsia" w:hAnsiTheme="minorHAnsi"/>
              <w:noProof/>
              <w:sz w:val="24"/>
            </w:rPr>
          </w:pPr>
          <w:hyperlink w:anchor="_Toc224031105" w:history="1">
            <w:r w:rsidRPr="004F7C2C">
              <w:rPr>
                <w:rStyle w:val="Hyperlink"/>
                <w:noProof/>
              </w:rPr>
              <w:t>How It Differs from Regular Cloud</w:t>
            </w:r>
            <w:r>
              <w:rPr>
                <w:noProof/>
                <w:webHidden/>
              </w:rPr>
              <w:tab/>
            </w:r>
            <w:r>
              <w:rPr>
                <w:noProof/>
                <w:webHidden/>
              </w:rPr>
              <w:fldChar w:fldCharType="begin"/>
            </w:r>
            <w:r>
              <w:rPr>
                <w:noProof/>
                <w:webHidden/>
              </w:rPr>
              <w:instrText xml:space="preserve"> PAGEREF _Toc224031105 \h </w:instrText>
            </w:r>
            <w:r>
              <w:rPr>
                <w:noProof/>
                <w:webHidden/>
              </w:rPr>
            </w:r>
            <w:r>
              <w:rPr>
                <w:noProof/>
                <w:webHidden/>
              </w:rPr>
              <w:fldChar w:fldCharType="separate"/>
            </w:r>
            <w:r>
              <w:rPr>
                <w:noProof/>
                <w:webHidden/>
              </w:rPr>
              <w:t>6</w:t>
            </w:r>
            <w:r>
              <w:rPr>
                <w:noProof/>
                <w:webHidden/>
              </w:rPr>
              <w:fldChar w:fldCharType="end"/>
            </w:r>
          </w:hyperlink>
        </w:p>
        <w:p w14:paraId="440A5206" w14:textId="69F7F28A" w:rsidR="00F34611" w:rsidRDefault="00F34611">
          <w:pPr>
            <w:pStyle w:val="TOC2"/>
            <w:tabs>
              <w:tab w:val="right" w:leader="dot" w:pos="9350"/>
            </w:tabs>
            <w:rPr>
              <w:rFonts w:asciiTheme="minorHAnsi" w:eastAsiaTheme="minorEastAsia" w:hAnsiTheme="minorHAnsi"/>
              <w:noProof/>
              <w:sz w:val="24"/>
            </w:rPr>
          </w:pPr>
          <w:hyperlink w:anchor="_Toc224031106" w:history="1">
            <w:r w:rsidRPr="004F7C2C">
              <w:rPr>
                <w:rStyle w:val="Hyperlink"/>
                <w:noProof/>
              </w:rPr>
              <w:t>Technical Architecture</w:t>
            </w:r>
            <w:r>
              <w:rPr>
                <w:noProof/>
                <w:webHidden/>
              </w:rPr>
              <w:tab/>
            </w:r>
            <w:r>
              <w:rPr>
                <w:noProof/>
                <w:webHidden/>
              </w:rPr>
              <w:fldChar w:fldCharType="begin"/>
            </w:r>
            <w:r>
              <w:rPr>
                <w:noProof/>
                <w:webHidden/>
              </w:rPr>
              <w:instrText xml:space="preserve"> PAGEREF _Toc224031106 \h </w:instrText>
            </w:r>
            <w:r>
              <w:rPr>
                <w:noProof/>
                <w:webHidden/>
              </w:rPr>
            </w:r>
            <w:r>
              <w:rPr>
                <w:noProof/>
                <w:webHidden/>
              </w:rPr>
              <w:fldChar w:fldCharType="separate"/>
            </w:r>
            <w:r>
              <w:rPr>
                <w:noProof/>
                <w:webHidden/>
              </w:rPr>
              <w:t>6</w:t>
            </w:r>
            <w:r>
              <w:rPr>
                <w:noProof/>
                <w:webHidden/>
              </w:rPr>
              <w:fldChar w:fldCharType="end"/>
            </w:r>
          </w:hyperlink>
        </w:p>
        <w:p w14:paraId="5AF98A18" w14:textId="428A0F0E" w:rsidR="00F34611" w:rsidRDefault="00F34611">
          <w:pPr>
            <w:pStyle w:val="TOC2"/>
            <w:tabs>
              <w:tab w:val="right" w:leader="dot" w:pos="9350"/>
            </w:tabs>
            <w:rPr>
              <w:rFonts w:asciiTheme="minorHAnsi" w:eastAsiaTheme="minorEastAsia" w:hAnsiTheme="minorHAnsi"/>
              <w:noProof/>
              <w:sz w:val="24"/>
            </w:rPr>
          </w:pPr>
          <w:hyperlink w:anchor="_Toc224031107" w:history="1">
            <w:r w:rsidRPr="004F7C2C">
              <w:rPr>
                <w:rStyle w:val="Hyperlink"/>
                <w:noProof/>
              </w:rPr>
              <w:t>Market Response</w:t>
            </w:r>
            <w:r>
              <w:rPr>
                <w:noProof/>
                <w:webHidden/>
              </w:rPr>
              <w:tab/>
            </w:r>
            <w:r>
              <w:rPr>
                <w:noProof/>
                <w:webHidden/>
              </w:rPr>
              <w:fldChar w:fldCharType="begin"/>
            </w:r>
            <w:r>
              <w:rPr>
                <w:noProof/>
                <w:webHidden/>
              </w:rPr>
              <w:instrText xml:space="preserve"> PAGEREF _Toc224031107 \h </w:instrText>
            </w:r>
            <w:r>
              <w:rPr>
                <w:noProof/>
                <w:webHidden/>
              </w:rPr>
            </w:r>
            <w:r>
              <w:rPr>
                <w:noProof/>
                <w:webHidden/>
              </w:rPr>
              <w:fldChar w:fldCharType="separate"/>
            </w:r>
            <w:r>
              <w:rPr>
                <w:noProof/>
                <w:webHidden/>
              </w:rPr>
              <w:t>7</w:t>
            </w:r>
            <w:r>
              <w:rPr>
                <w:noProof/>
                <w:webHidden/>
              </w:rPr>
              <w:fldChar w:fldCharType="end"/>
            </w:r>
          </w:hyperlink>
        </w:p>
        <w:p w14:paraId="3233935C" w14:textId="0602AFC1" w:rsidR="00F34611" w:rsidRDefault="00F34611">
          <w:pPr>
            <w:pStyle w:val="TOC2"/>
            <w:tabs>
              <w:tab w:val="right" w:leader="dot" w:pos="9350"/>
            </w:tabs>
            <w:rPr>
              <w:rFonts w:asciiTheme="minorHAnsi" w:eastAsiaTheme="minorEastAsia" w:hAnsiTheme="minorHAnsi"/>
              <w:noProof/>
              <w:sz w:val="24"/>
            </w:rPr>
          </w:pPr>
          <w:hyperlink w:anchor="_Toc224031108" w:history="1">
            <w:r w:rsidRPr="004F7C2C">
              <w:rPr>
                <w:rStyle w:val="Hyperlink"/>
                <w:noProof/>
              </w:rPr>
              <w:t>Infrastructure tradeoffs</w:t>
            </w:r>
            <w:r>
              <w:rPr>
                <w:noProof/>
                <w:webHidden/>
              </w:rPr>
              <w:tab/>
            </w:r>
            <w:r>
              <w:rPr>
                <w:noProof/>
                <w:webHidden/>
              </w:rPr>
              <w:fldChar w:fldCharType="begin"/>
            </w:r>
            <w:r>
              <w:rPr>
                <w:noProof/>
                <w:webHidden/>
              </w:rPr>
              <w:instrText xml:space="preserve"> PAGEREF _Toc224031108 \h </w:instrText>
            </w:r>
            <w:r>
              <w:rPr>
                <w:noProof/>
                <w:webHidden/>
              </w:rPr>
            </w:r>
            <w:r>
              <w:rPr>
                <w:noProof/>
                <w:webHidden/>
              </w:rPr>
              <w:fldChar w:fldCharType="separate"/>
            </w:r>
            <w:r>
              <w:rPr>
                <w:noProof/>
                <w:webHidden/>
              </w:rPr>
              <w:t>7</w:t>
            </w:r>
            <w:r>
              <w:rPr>
                <w:noProof/>
                <w:webHidden/>
              </w:rPr>
              <w:fldChar w:fldCharType="end"/>
            </w:r>
          </w:hyperlink>
        </w:p>
        <w:p w14:paraId="7FA905B0" w14:textId="6A672552" w:rsidR="00F34611" w:rsidRDefault="00F34611">
          <w:pPr>
            <w:pStyle w:val="TOC3"/>
            <w:tabs>
              <w:tab w:val="right" w:leader="dot" w:pos="9350"/>
            </w:tabs>
            <w:rPr>
              <w:rFonts w:asciiTheme="minorHAnsi" w:eastAsiaTheme="minorEastAsia" w:hAnsiTheme="minorHAnsi"/>
              <w:noProof/>
              <w:sz w:val="24"/>
            </w:rPr>
          </w:pPr>
          <w:hyperlink w:anchor="_Toc224031109" w:history="1">
            <w:r w:rsidRPr="004F7C2C">
              <w:rPr>
                <w:rStyle w:val="Hyperlink"/>
                <w:noProof/>
              </w:rPr>
              <w:t>Private Cloud</w:t>
            </w:r>
            <w:r>
              <w:rPr>
                <w:noProof/>
                <w:webHidden/>
              </w:rPr>
              <w:tab/>
            </w:r>
            <w:r>
              <w:rPr>
                <w:noProof/>
                <w:webHidden/>
              </w:rPr>
              <w:fldChar w:fldCharType="begin"/>
            </w:r>
            <w:r>
              <w:rPr>
                <w:noProof/>
                <w:webHidden/>
              </w:rPr>
              <w:instrText xml:space="preserve"> PAGEREF _Toc224031109 \h </w:instrText>
            </w:r>
            <w:r>
              <w:rPr>
                <w:noProof/>
                <w:webHidden/>
              </w:rPr>
            </w:r>
            <w:r>
              <w:rPr>
                <w:noProof/>
                <w:webHidden/>
              </w:rPr>
              <w:fldChar w:fldCharType="separate"/>
            </w:r>
            <w:r>
              <w:rPr>
                <w:noProof/>
                <w:webHidden/>
              </w:rPr>
              <w:t>7</w:t>
            </w:r>
            <w:r>
              <w:rPr>
                <w:noProof/>
                <w:webHidden/>
              </w:rPr>
              <w:fldChar w:fldCharType="end"/>
            </w:r>
          </w:hyperlink>
        </w:p>
        <w:p w14:paraId="124C25E7" w14:textId="7C74E2C2" w:rsidR="00F34611" w:rsidRDefault="00F34611">
          <w:pPr>
            <w:pStyle w:val="TOC2"/>
            <w:tabs>
              <w:tab w:val="right" w:leader="dot" w:pos="9350"/>
            </w:tabs>
            <w:rPr>
              <w:rFonts w:asciiTheme="minorHAnsi" w:eastAsiaTheme="minorEastAsia" w:hAnsiTheme="minorHAnsi"/>
              <w:noProof/>
              <w:sz w:val="24"/>
            </w:rPr>
          </w:pPr>
          <w:hyperlink w:anchor="_Toc224031110" w:history="1">
            <w:r w:rsidRPr="004F7C2C">
              <w:rPr>
                <w:rStyle w:val="Hyperlink"/>
                <w:noProof/>
              </w:rPr>
              <w:t>Hybrid Cloud</w:t>
            </w:r>
            <w:r>
              <w:rPr>
                <w:noProof/>
                <w:webHidden/>
              </w:rPr>
              <w:tab/>
            </w:r>
            <w:r>
              <w:rPr>
                <w:noProof/>
                <w:webHidden/>
              </w:rPr>
              <w:fldChar w:fldCharType="begin"/>
            </w:r>
            <w:r>
              <w:rPr>
                <w:noProof/>
                <w:webHidden/>
              </w:rPr>
              <w:instrText xml:space="preserve"> PAGEREF _Toc224031110 \h </w:instrText>
            </w:r>
            <w:r>
              <w:rPr>
                <w:noProof/>
                <w:webHidden/>
              </w:rPr>
            </w:r>
            <w:r>
              <w:rPr>
                <w:noProof/>
                <w:webHidden/>
              </w:rPr>
              <w:fldChar w:fldCharType="separate"/>
            </w:r>
            <w:r>
              <w:rPr>
                <w:noProof/>
                <w:webHidden/>
              </w:rPr>
              <w:t>8</w:t>
            </w:r>
            <w:r>
              <w:rPr>
                <w:noProof/>
                <w:webHidden/>
              </w:rPr>
              <w:fldChar w:fldCharType="end"/>
            </w:r>
          </w:hyperlink>
        </w:p>
        <w:p w14:paraId="0E56D73A" w14:textId="5802E93C" w:rsidR="00F34611" w:rsidRDefault="00F34611">
          <w:pPr>
            <w:pStyle w:val="TOC3"/>
            <w:tabs>
              <w:tab w:val="right" w:leader="dot" w:pos="9350"/>
            </w:tabs>
            <w:rPr>
              <w:rFonts w:asciiTheme="minorHAnsi" w:eastAsiaTheme="minorEastAsia" w:hAnsiTheme="minorHAnsi"/>
              <w:noProof/>
              <w:sz w:val="24"/>
            </w:rPr>
          </w:pPr>
          <w:hyperlink w:anchor="_Toc224031111" w:history="1">
            <w:r w:rsidRPr="004F7C2C">
              <w:rPr>
                <w:rStyle w:val="Hyperlink"/>
                <w:noProof/>
              </w:rPr>
              <w:t>Hybrid Multi-Cloud</w:t>
            </w:r>
            <w:r>
              <w:rPr>
                <w:noProof/>
                <w:webHidden/>
              </w:rPr>
              <w:tab/>
            </w:r>
            <w:r>
              <w:rPr>
                <w:noProof/>
                <w:webHidden/>
              </w:rPr>
              <w:fldChar w:fldCharType="begin"/>
            </w:r>
            <w:r>
              <w:rPr>
                <w:noProof/>
                <w:webHidden/>
              </w:rPr>
              <w:instrText xml:space="preserve"> PAGEREF _Toc224031111 \h </w:instrText>
            </w:r>
            <w:r>
              <w:rPr>
                <w:noProof/>
                <w:webHidden/>
              </w:rPr>
            </w:r>
            <w:r>
              <w:rPr>
                <w:noProof/>
                <w:webHidden/>
              </w:rPr>
              <w:fldChar w:fldCharType="separate"/>
            </w:r>
            <w:r>
              <w:rPr>
                <w:noProof/>
                <w:webHidden/>
              </w:rPr>
              <w:t>9</w:t>
            </w:r>
            <w:r>
              <w:rPr>
                <w:noProof/>
                <w:webHidden/>
              </w:rPr>
              <w:fldChar w:fldCharType="end"/>
            </w:r>
          </w:hyperlink>
        </w:p>
        <w:p w14:paraId="348B8A69" w14:textId="478E67E9" w:rsidR="00F34611" w:rsidRDefault="00F34611">
          <w:pPr>
            <w:pStyle w:val="TOC3"/>
            <w:tabs>
              <w:tab w:val="right" w:leader="dot" w:pos="9350"/>
            </w:tabs>
            <w:rPr>
              <w:rFonts w:asciiTheme="minorHAnsi" w:eastAsiaTheme="minorEastAsia" w:hAnsiTheme="minorHAnsi"/>
              <w:noProof/>
              <w:sz w:val="24"/>
            </w:rPr>
          </w:pPr>
          <w:hyperlink w:anchor="_Toc224031112" w:history="1">
            <w:r w:rsidRPr="004F7C2C">
              <w:rPr>
                <w:rStyle w:val="Hyperlink"/>
                <w:noProof/>
              </w:rPr>
              <w:t>Scaling Tiers Across Geographies</w:t>
            </w:r>
            <w:r>
              <w:rPr>
                <w:noProof/>
                <w:webHidden/>
              </w:rPr>
              <w:tab/>
            </w:r>
            <w:r>
              <w:rPr>
                <w:noProof/>
                <w:webHidden/>
              </w:rPr>
              <w:fldChar w:fldCharType="begin"/>
            </w:r>
            <w:r>
              <w:rPr>
                <w:noProof/>
                <w:webHidden/>
              </w:rPr>
              <w:instrText xml:space="preserve"> PAGEREF _Toc224031112 \h </w:instrText>
            </w:r>
            <w:r>
              <w:rPr>
                <w:noProof/>
                <w:webHidden/>
              </w:rPr>
            </w:r>
            <w:r>
              <w:rPr>
                <w:noProof/>
                <w:webHidden/>
              </w:rPr>
              <w:fldChar w:fldCharType="separate"/>
            </w:r>
            <w:r>
              <w:rPr>
                <w:noProof/>
                <w:webHidden/>
              </w:rPr>
              <w:t>9</w:t>
            </w:r>
            <w:r>
              <w:rPr>
                <w:noProof/>
                <w:webHidden/>
              </w:rPr>
              <w:fldChar w:fldCharType="end"/>
            </w:r>
          </w:hyperlink>
        </w:p>
        <w:p w14:paraId="6849BCC7" w14:textId="3F654E73" w:rsidR="00F34611" w:rsidRDefault="00F34611">
          <w:pPr>
            <w:pStyle w:val="TOC1"/>
            <w:tabs>
              <w:tab w:val="right" w:leader="dot" w:pos="9350"/>
            </w:tabs>
            <w:rPr>
              <w:rFonts w:asciiTheme="minorHAnsi" w:eastAsiaTheme="minorEastAsia" w:hAnsiTheme="minorHAnsi"/>
              <w:noProof/>
              <w:sz w:val="24"/>
            </w:rPr>
          </w:pPr>
          <w:hyperlink w:anchor="_Toc224031113" w:history="1">
            <w:r w:rsidRPr="004F7C2C">
              <w:rPr>
                <w:rStyle w:val="Hyperlink"/>
                <w:noProof/>
              </w:rPr>
              <w:t>What is Sovereign AI</w:t>
            </w:r>
            <w:r>
              <w:rPr>
                <w:noProof/>
                <w:webHidden/>
              </w:rPr>
              <w:tab/>
            </w:r>
            <w:r>
              <w:rPr>
                <w:noProof/>
                <w:webHidden/>
              </w:rPr>
              <w:fldChar w:fldCharType="begin"/>
            </w:r>
            <w:r>
              <w:rPr>
                <w:noProof/>
                <w:webHidden/>
              </w:rPr>
              <w:instrText xml:space="preserve"> PAGEREF _Toc224031113 \h </w:instrText>
            </w:r>
            <w:r>
              <w:rPr>
                <w:noProof/>
                <w:webHidden/>
              </w:rPr>
            </w:r>
            <w:r>
              <w:rPr>
                <w:noProof/>
                <w:webHidden/>
              </w:rPr>
              <w:fldChar w:fldCharType="separate"/>
            </w:r>
            <w:r>
              <w:rPr>
                <w:noProof/>
                <w:webHidden/>
              </w:rPr>
              <w:t>10</w:t>
            </w:r>
            <w:r>
              <w:rPr>
                <w:noProof/>
                <w:webHidden/>
              </w:rPr>
              <w:fldChar w:fldCharType="end"/>
            </w:r>
          </w:hyperlink>
        </w:p>
        <w:p w14:paraId="6FDC07F0" w14:textId="30F40B31" w:rsidR="00F34611" w:rsidRDefault="00F34611">
          <w:pPr>
            <w:pStyle w:val="TOC2"/>
            <w:tabs>
              <w:tab w:val="right" w:leader="dot" w:pos="9350"/>
            </w:tabs>
            <w:rPr>
              <w:rFonts w:asciiTheme="minorHAnsi" w:eastAsiaTheme="minorEastAsia" w:hAnsiTheme="minorHAnsi"/>
              <w:noProof/>
              <w:sz w:val="24"/>
            </w:rPr>
          </w:pPr>
          <w:hyperlink w:anchor="_Toc224031114" w:history="1">
            <w:r w:rsidRPr="004F7C2C">
              <w:rPr>
                <w:rStyle w:val="Hyperlink"/>
                <w:noProof/>
              </w:rPr>
              <w:t>Core Pillars</w:t>
            </w:r>
            <w:r>
              <w:rPr>
                <w:noProof/>
                <w:webHidden/>
              </w:rPr>
              <w:tab/>
            </w:r>
            <w:r>
              <w:rPr>
                <w:noProof/>
                <w:webHidden/>
              </w:rPr>
              <w:fldChar w:fldCharType="begin"/>
            </w:r>
            <w:r>
              <w:rPr>
                <w:noProof/>
                <w:webHidden/>
              </w:rPr>
              <w:instrText xml:space="preserve"> PAGEREF _Toc224031114 \h </w:instrText>
            </w:r>
            <w:r>
              <w:rPr>
                <w:noProof/>
                <w:webHidden/>
              </w:rPr>
            </w:r>
            <w:r>
              <w:rPr>
                <w:noProof/>
                <w:webHidden/>
              </w:rPr>
              <w:fldChar w:fldCharType="separate"/>
            </w:r>
            <w:r>
              <w:rPr>
                <w:noProof/>
                <w:webHidden/>
              </w:rPr>
              <w:t>10</w:t>
            </w:r>
            <w:r>
              <w:rPr>
                <w:noProof/>
                <w:webHidden/>
              </w:rPr>
              <w:fldChar w:fldCharType="end"/>
            </w:r>
          </w:hyperlink>
        </w:p>
        <w:p w14:paraId="672986BC" w14:textId="3D7D834A" w:rsidR="00F34611" w:rsidRDefault="00F34611">
          <w:pPr>
            <w:pStyle w:val="TOC2"/>
            <w:tabs>
              <w:tab w:val="right" w:leader="dot" w:pos="9350"/>
            </w:tabs>
            <w:rPr>
              <w:rFonts w:asciiTheme="minorHAnsi" w:eastAsiaTheme="minorEastAsia" w:hAnsiTheme="minorHAnsi"/>
              <w:noProof/>
              <w:sz w:val="24"/>
            </w:rPr>
          </w:pPr>
          <w:hyperlink w:anchor="_Toc224031115" w:history="1">
            <w:r w:rsidRPr="004F7C2C">
              <w:rPr>
                <w:rStyle w:val="Hyperlink"/>
                <w:noProof/>
              </w:rPr>
              <w:t>Real-World National Programs</w:t>
            </w:r>
            <w:r>
              <w:rPr>
                <w:noProof/>
                <w:webHidden/>
              </w:rPr>
              <w:tab/>
            </w:r>
            <w:r>
              <w:rPr>
                <w:noProof/>
                <w:webHidden/>
              </w:rPr>
              <w:fldChar w:fldCharType="begin"/>
            </w:r>
            <w:r>
              <w:rPr>
                <w:noProof/>
                <w:webHidden/>
              </w:rPr>
              <w:instrText xml:space="preserve"> PAGEREF _Toc224031115 \h </w:instrText>
            </w:r>
            <w:r>
              <w:rPr>
                <w:noProof/>
                <w:webHidden/>
              </w:rPr>
            </w:r>
            <w:r>
              <w:rPr>
                <w:noProof/>
                <w:webHidden/>
              </w:rPr>
              <w:fldChar w:fldCharType="separate"/>
            </w:r>
            <w:r>
              <w:rPr>
                <w:noProof/>
                <w:webHidden/>
              </w:rPr>
              <w:t>11</w:t>
            </w:r>
            <w:r>
              <w:rPr>
                <w:noProof/>
                <w:webHidden/>
              </w:rPr>
              <w:fldChar w:fldCharType="end"/>
            </w:r>
          </w:hyperlink>
        </w:p>
        <w:p w14:paraId="3F22C093" w14:textId="3010C69F" w:rsidR="00F34611" w:rsidRDefault="00F34611">
          <w:pPr>
            <w:pStyle w:val="TOC2"/>
            <w:tabs>
              <w:tab w:val="right" w:leader="dot" w:pos="9350"/>
            </w:tabs>
            <w:rPr>
              <w:rFonts w:asciiTheme="minorHAnsi" w:eastAsiaTheme="minorEastAsia" w:hAnsiTheme="minorHAnsi"/>
              <w:noProof/>
              <w:sz w:val="24"/>
            </w:rPr>
          </w:pPr>
          <w:hyperlink w:anchor="_Toc224031116" w:history="1">
            <w:r w:rsidRPr="004F7C2C">
              <w:rPr>
                <w:rStyle w:val="Hyperlink"/>
                <w:noProof/>
              </w:rPr>
              <w:t>Organizational Implications</w:t>
            </w:r>
            <w:r>
              <w:rPr>
                <w:noProof/>
                <w:webHidden/>
              </w:rPr>
              <w:tab/>
            </w:r>
            <w:r>
              <w:rPr>
                <w:noProof/>
                <w:webHidden/>
              </w:rPr>
              <w:fldChar w:fldCharType="begin"/>
            </w:r>
            <w:r>
              <w:rPr>
                <w:noProof/>
                <w:webHidden/>
              </w:rPr>
              <w:instrText xml:space="preserve"> PAGEREF _Toc224031116 \h </w:instrText>
            </w:r>
            <w:r>
              <w:rPr>
                <w:noProof/>
                <w:webHidden/>
              </w:rPr>
            </w:r>
            <w:r>
              <w:rPr>
                <w:noProof/>
                <w:webHidden/>
              </w:rPr>
              <w:fldChar w:fldCharType="separate"/>
            </w:r>
            <w:r>
              <w:rPr>
                <w:noProof/>
                <w:webHidden/>
              </w:rPr>
              <w:t>11</w:t>
            </w:r>
            <w:r>
              <w:rPr>
                <w:noProof/>
                <w:webHidden/>
              </w:rPr>
              <w:fldChar w:fldCharType="end"/>
            </w:r>
          </w:hyperlink>
        </w:p>
        <w:p w14:paraId="33429EEB" w14:textId="3E8A6224" w:rsidR="00F34611" w:rsidRDefault="00F34611">
          <w:pPr>
            <w:pStyle w:val="TOC1"/>
            <w:tabs>
              <w:tab w:val="right" w:leader="dot" w:pos="9350"/>
            </w:tabs>
            <w:rPr>
              <w:rFonts w:asciiTheme="minorHAnsi" w:eastAsiaTheme="minorEastAsia" w:hAnsiTheme="minorHAnsi"/>
              <w:noProof/>
              <w:sz w:val="24"/>
            </w:rPr>
          </w:pPr>
          <w:hyperlink w:anchor="_Toc224031117" w:history="1">
            <w:r w:rsidRPr="004F7C2C">
              <w:rPr>
                <w:rStyle w:val="Hyperlink"/>
                <w:noProof/>
              </w:rPr>
              <w:t>Data Privacy Laws</w:t>
            </w:r>
            <w:r>
              <w:rPr>
                <w:noProof/>
                <w:webHidden/>
              </w:rPr>
              <w:tab/>
            </w:r>
            <w:r>
              <w:rPr>
                <w:noProof/>
                <w:webHidden/>
              </w:rPr>
              <w:fldChar w:fldCharType="begin"/>
            </w:r>
            <w:r>
              <w:rPr>
                <w:noProof/>
                <w:webHidden/>
              </w:rPr>
              <w:instrText xml:space="preserve"> PAGEREF _Toc224031117 \h </w:instrText>
            </w:r>
            <w:r>
              <w:rPr>
                <w:noProof/>
                <w:webHidden/>
              </w:rPr>
            </w:r>
            <w:r>
              <w:rPr>
                <w:noProof/>
                <w:webHidden/>
              </w:rPr>
              <w:fldChar w:fldCharType="separate"/>
            </w:r>
            <w:r>
              <w:rPr>
                <w:noProof/>
                <w:webHidden/>
              </w:rPr>
              <w:t>12</w:t>
            </w:r>
            <w:r>
              <w:rPr>
                <w:noProof/>
                <w:webHidden/>
              </w:rPr>
              <w:fldChar w:fldCharType="end"/>
            </w:r>
          </w:hyperlink>
        </w:p>
        <w:p w14:paraId="1DD77D35" w14:textId="07E04E3D" w:rsidR="00F34611" w:rsidRDefault="00F34611">
          <w:pPr>
            <w:pStyle w:val="TOC2"/>
            <w:tabs>
              <w:tab w:val="right" w:leader="dot" w:pos="9350"/>
            </w:tabs>
            <w:rPr>
              <w:rFonts w:asciiTheme="minorHAnsi" w:eastAsiaTheme="minorEastAsia" w:hAnsiTheme="minorHAnsi"/>
              <w:noProof/>
              <w:sz w:val="24"/>
            </w:rPr>
          </w:pPr>
          <w:hyperlink w:anchor="_Toc224031118" w:history="1">
            <w:r w:rsidRPr="004F7C2C">
              <w:rPr>
                <w:rStyle w:val="Hyperlink"/>
                <w:noProof/>
              </w:rPr>
              <w:t>European Union (GDPR)</w:t>
            </w:r>
            <w:r>
              <w:rPr>
                <w:noProof/>
                <w:webHidden/>
              </w:rPr>
              <w:tab/>
            </w:r>
            <w:r>
              <w:rPr>
                <w:noProof/>
                <w:webHidden/>
              </w:rPr>
              <w:fldChar w:fldCharType="begin"/>
            </w:r>
            <w:r>
              <w:rPr>
                <w:noProof/>
                <w:webHidden/>
              </w:rPr>
              <w:instrText xml:space="preserve"> PAGEREF _Toc224031118 \h </w:instrText>
            </w:r>
            <w:r>
              <w:rPr>
                <w:noProof/>
                <w:webHidden/>
              </w:rPr>
            </w:r>
            <w:r>
              <w:rPr>
                <w:noProof/>
                <w:webHidden/>
              </w:rPr>
              <w:fldChar w:fldCharType="separate"/>
            </w:r>
            <w:r>
              <w:rPr>
                <w:noProof/>
                <w:webHidden/>
              </w:rPr>
              <w:t>12</w:t>
            </w:r>
            <w:r>
              <w:rPr>
                <w:noProof/>
                <w:webHidden/>
              </w:rPr>
              <w:fldChar w:fldCharType="end"/>
            </w:r>
          </w:hyperlink>
        </w:p>
        <w:p w14:paraId="6EEB19F1" w14:textId="2A611B82" w:rsidR="00F34611" w:rsidRDefault="00F34611">
          <w:pPr>
            <w:pStyle w:val="TOC3"/>
            <w:tabs>
              <w:tab w:val="right" w:leader="dot" w:pos="9350"/>
            </w:tabs>
            <w:rPr>
              <w:rFonts w:asciiTheme="minorHAnsi" w:eastAsiaTheme="minorEastAsia" w:hAnsiTheme="minorHAnsi"/>
              <w:noProof/>
              <w:sz w:val="24"/>
            </w:rPr>
          </w:pPr>
          <w:hyperlink w:anchor="_Toc224031119" w:history="1">
            <w:r w:rsidRPr="004F7C2C">
              <w:rPr>
                <w:rStyle w:val="Hyperlink"/>
                <w:noProof/>
              </w:rPr>
              <w:t>Key Rights Granted to Individuals</w:t>
            </w:r>
            <w:r>
              <w:rPr>
                <w:noProof/>
                <w:webHidden/>
              </w:rPr>
              <w:tab/>
            </w:r>
            <w:r>
              <w:rPr>
                <w:noProof/>
                <w:webHidden/>
              </w:rPr>
              <w:fldChar w:fldCharType="begin"/>
            </w:r>
            <w:r>
              <w:rPr>
                <w:noProof/>
                <w:webHidden/>
              </w:rPr>
              <w:instrText xml:space="preserve"> PAGEREF _Toc224031119 \h </w:instrText>
            </w:r>
            <w:r>
              <w:rPr>
                <w:noProof/>
                <w:webHidden/>
              </w:rPr>
            </w:r>
            <w:r>
              <w:rPr>
                <w:noProof/>
                <w:webHidden/>
              </w:rPr>
              <w:fldChar w:fldCharType="separate"/>
            </w:r>
            <w:r>
              <w:rPr>
                <w:noProof/>
                <w:webHidden/>
              </w:rPr>
              <w:t>12</w:t>
            </w:r>
            <w:r>
              <w:rPr>
                <w:noProof/>
                <w:webHidden/>
              </w:rPr>
              <w:fldChar w:fldCharType="end"/>
            </w:r>
          </w:hyperlink>
        </w:p>
        <w:p w14:paraId="4C4F1B86" w14:textId="5E93B21B" w:rsidR="00F34611" w:rsidRDefault="00F34611">
          <w:pPr>
            <w:pStyle w:val="TOC3"/>
            <w:tabs>
              <w:tab w:val="right" w:leader="dot" w:pos="9350"/>
            </w:tabs>
            <w:rPr>
              <w:rFonts w:asciiTheme="minorHAnsi" w:eastAsiaTheme="minorEastAsia" w:hAnsiTheme="minorHAnsi"/>
              <w:noProof/>
              <w:sz w:val="24"/>
            </w:rPr>
          </w:pPr>
          <w:hyperlink w:anchor="_Toc224031120" w:history="1">
            <w:r w:rsidRPr="004F7C2C">
              <w:rPr>
                <w:rStyle w:val="Hyperlink"/>
                <w:noProof/>
              </w:rPr>
              <w:t>Key Engineering Requirements</w:t>
            </w:r>
            <w:r>
              <w:rPr>
                <w:noProof/>
                <w:webHidden/>
              </w:rPr>
              <w:tab/>
            </w:r>
            <w:r>
              <w:rPr>
                <w:noProof/>
                <w:webHidden/>
              </w:rPr>
              <w:fldChar w:fldCharType="begin"/>
            </w:r>
            <w:r>
              <w:rPr>
                <w:noProof/>
                <w:webHidden/>
              </w:rPr>
              <w:instrText xml:space="preserve"> PAGEREF _Toc224031120 \h </w:instrText>
            </w:r>
            <w:r>
              <w:rPr>
                <w:noProof/>
                <w:webHidden/>
              </w:rPr>
            </w:r>
            <w:r>
              <w:rPr>
                <w:noProof/>
                <w:webHidden/>
              </w:rPr>
              <w:fldChar w:fldCharType="separate"/>
            </w:r>
            <w:r>
              <w:rPr>
                <w:noProof/>
                <w:webHidden/>
              </w:rPr>
              <w:t>12</w:t>
            </w:r>
            <w:r>
              <w:rPr>
                <w:noProof/>
                <w:webHidden/>
              </w:rPr>
              <w:fldChar w:fldCharType="end"/>
            </w:r>
          </w:hyperlink>
        </w:p>
        <w:p w14:paraId="11DFCFF4" w14:textId="0DD29788" w:rsidR="00F34611" w:rsidRDefault="00F34611">
          <w:pPr>
            <w:pStyle w:val="TOC3"/>
            <w:tabs>
              <w:tab w:val="right" w:leader="dot" w:pos="9350"/>
            </w:tabs>
            <w:rPr>
              <w:rFonts w:asciiTheme="minorHAnsi" w:eastAsiaTheme="minorEastAsia" w:hAnsiTheme="minorHAnsi"/>
              <w:noProof/>
              <w:sz w:val="24"/>
            </w:rPr>
          </w:pPr>
          <w:hyperlink w:anchor="_Toc224031121" w:history="1">
            <w:r w:rsidRPr="004F7C2C">
              <w:rPr>
                <w:rStyle w:val="Hyperlink"/>
                <w:noProof/>
              </w:rPr>
              <w:t>Penalties</w:t>
            </w:r>
            <w:r>
              <w:rPr>
                <w:noProof/>
                <w:webHidden/>
              </w:rPr>
              <w:tab/>
            </w:r>
            <w:r>
              <w:rPr>
                <w:noProof/>
                <w:webHidden/>
              </w:rPr>
              <w:fldChar w:fldCharType="begin"/>
            </w:r>
            <w:r>
              <w:rPr>
                <w:noProof/>
                <w:webHidden/>
              </w:rPr>
              <w:instrText xml:space="preserve"> PAGEREF _Toc224031121 \h </w:instrText>
            </w:r>
            <w:r>
              <w:rPr>
                <w:noProof/>
                <w:webHidden/>
              </w:rPr>
            </w:r>
            <w:r>
              <w:rPr>
                <w:noProof/>
                <w:webHidden/>
              </w:rPr>
              <w:fldChar w:fldCharType="separate"/>
            </w:r>
            <w:r>
              <w:rPr>
                <w:noProof/>
                <w:webHidden/>
              </w:rPr>
              <w:t>13</w:t>
            </w:r>
            <w:r>
              <w:rPr>
                <w:noProof/>
                <w:webHidden/>
              </w:rPr>
              <w:fldChar w:fldCharType="end"/>
            </w:r>
          </w:hyperlink>
        </w:p>
        <w:p w14:paraId="5239892C" w14:textId="5AF04EEE" w:rsidR="00F34611" w:rsidRDefault="00F34611">
          <w:pPr>
            <w:pStyle w:val="TOC2"/>
            <w:tabs>
              <w:tab w:val="right" w:leader="dot" w:pos="9350"/>
            </w:tabs>
            <w:rPr>
              <w:rFonts w:asciiTheme="minorHAnsi" w:eastAsiaTheme="minorEastAsia" w:hAnsiTheme="minorHAnsi"/>
              <w:noProof/>
              <w:sz w:val="24"/>
            </w:rPr>
          </w:pPr>
          <w:hyperlink w:anchor="_Toc224031122" w:history="1">
            <w:r w:rsidRPr="004F7C2C">
              <w:rPr>
                <w:rStyle w:val="Hyperlink"/>
                <w:noProof/>
              </w:rPr>
              <w:t>United States</w:t>
            </w:r>
            <w:r>
              <w:rPr>
                <w:noProof/>
                <w:webHidden/>
              </w:rPr>
              <w:tab/>
            </w:r>
            <w:r>
              <w:rPr>
                <w:noProof/>
                <w:webHidden/>
              </w:rPr>
              <w:fldChar w:fldCharType="begin"/>
            </w:r>
            <w:r>
              <w:rPr>
                <w:noProof/>
                <w:webHidden/>
              </w:rPr>
              <w:instrText xml:space="preserve"> PAGEREF _Toc224031122 \h </w:instrText>
            </w:r>
            <w:r>
              <w:rPr>
                <w:noProof/>
                <w:webHidden/>
              </w:rPr>
            </w:r>
            <w:r>
              <w:rPr>
                <w:noProof/>
                <w:webHidden/>
              </w:rPr>
              <w:fldChar w:fldCharType="separate"/>
            </w:r>
            <w:r>
              <w:rPr>
                <w:noProof/>
                <w:webHidden/>
              </w:rPr>
              <w:t>13</w:t>
            </w:r>
            <w:r>
              <w:rPr>
                <w:noProof/>
                <w:webHidden/>
              </w:rPr>
              <w:fldChar w:fldCharType="end"/>
            </w:r>
          </w:hyperlink>
        </w:p>
        <w:p w14:paraId="04504C68" w14:textId="321207F5" w:rsidR="00F34611" w:rsidRDefault="00F34611">
          <w:pPr>
            <w:pStyle w:val="TOC3"/>
            <w:tabs>
              <w:tab w:val="right" w:leader="dot" w:pos="9350"/>
            </w:tabs>
            <w:rPr>
              <w:rFonts w:asciiTheme="minorHAnsi" w:eastAsiaTheme="minorEastAsia" w:hAnsiTheme="minorHAnsi"/>
              <w:noProof/>
              <w:sz w:val="24"/>
            </w:rPr>
          </w:pPr>
          <w:hyperlink w:anchor="_Toc224031123" w:history="1">
            <w:r w:rsidRPr="004F7C2C">
              <w:rPr>
                <w:rStyle w:val="Hyperlink"/>
                <w:noProof/>
              </w:rPr>
              <w:t>The US Sectoral Approach</w:t>
            </w:r>
            <w:r>
              <w:rPr>
                <w:noProof/>
                <w:webHidden/>
              </w:rPr>
              <w:tab/>
            </w:r>
            <w:r>
              <w:rPr>
                <w:noProof/>
                <w:webHidden/>
              </w:rPr>
              <w:fldChar w:fldCharType="begin"/>
            </w:r>
            <w:r>
              <w:rPr>
                <w:noProof/>
                <w:webHidden/>
              </w:rPr>
              <w:instrText xml:space="preserve"> PAGEREF _Toc224031123 \h </w:instrText>
            </w:r>
            <w:r>
              <w:rPr>
                <w:noProof/>
                <w:webHidden/>
              </w:rPr>
            </w:r>
            <w:r>
              <w:rPr>
                <w:noProof/>
                <w:webHidden/>
              </w:rPr>
              <w:fldChar w:fldCharType="separate"/>
            </w:r>
            <w:r>
              <w:rPr>
                <w:noProof/>
                <w:webHidden/>
              </w:rPr>
              <w:t>13</w:t>
            </w:r>
            <w:r>
              <w:rPr>
                <w:noProof/>
                <w:webHidden/>
              </w:rPr>
              <w:fldChar w:fldCharType="end"/>
            </w:r>
          </w:hyperlink>
        </w:p>
        <w:p w14:paraId="178FE915" w14:textId="2BA27007" w:rsidR="00F34611" w:rsidRDefault="00F34611">
          <w:pPr>
            <w:pStyle w:val="TOC3"/>
            <w:tabs>
              <w:tab w:val="right" w:leader="dot" w:pos="9350"/>
            </w:tabs>
            <w:rPr>
              <w:rFonts w:asciiTheme="minorHAnsi" w:eastAsiaTheme="minorEastAsia" w:hAnsiTheme="minorHAnsi"/>
              <w:noProof/>
              <w:sz w:val="24"/>
            </w:rPr>
          </w:pPr>
          <w:hyperlink w:anchor="_Toc224031124" w:history="1">
            <w:r w:rsidRPr="004F7C2C">
              <w:rPr>
                <w:rStyle w:val="Hyperlink"/>
                <w:noProof/>
              </w:rPr>
              <w:t>The State Law Patchwork</w:t>
            </w:r>
            <w:r>
              <w:rPr>
                <w:noProof/>
                <w:webHidden/>
              </w:rPr>
              <w:tab/>
            </w:r>
            <w:r>
              <w:rPr>
                <w:noProof/>
                <w:webHidden/>
              </w:rPr>
              <w:fldChar w:fldCharType="begin"/>
            </w:r>
            <w:r>
              <w:rPr>
                <w:noProof/>
                <w:webHidden/>
              </w:rPr>
              <w:instrText xml:space="preserve"> PAGEREF _Toc224031124 \h </w:instrText>
            </w:r>
            <w:r>
              <w:rPr>
                <w:noProof/>
                <w:webHidden/>
              </w:rPr>
            </w:r>
            <w:r>
              <w:rPr>
                <w:noProof/>
                <w:webHidden/>
              </w:rPr>
              <w:fldChar w:fldCharType="separate"/>
            </w:r>
            <w:r>
              <w:rPr>
                <w:noProof/>
                <w:webHidden/>
              </w:rPr>
              <w:t>14</w:t>
            </w:r>
            <w:r>
              <w:rPr>
                <w:noProof/>
                <w:webHidden/>
              </w:rPr>
              <w:fldChar w:fldCharType="end"/>
            </w:r>
          </w:hyperlink>
        </w:p>
        <w:p w14:paraId="06ED800E" w14:textId="3C301A2C" w:rsidR="00F34611" w:rsidRDefault="00F34611">
          <w:pPr>
            <w:pStyle w:val="TOC3"/>
            <w:tabs>
              <w:tab w:val="right" w:leader="dot" w:pos="9350"/>
            </w:tabs>
            <w:rPr>
              <w:rFonts w:asciiTheme="minorHAnsi" w:eastAsiaTheme="minorEastAsia" w:hAnsiTheme="minorHAnsi"/>
              <w:noProof/>
              <w:sz w:val="24"/>
            </w:rPr>
          </w:pPr>
          <w:hyperlink w:anchor="_Toc224031125" w:history="1">
            <w:r w:rsidRPr="004F7C2C">
              <w:rPr>
                <w:rStyle w:val="Hyperlink"/>
                <w:noProof/>
              </w:rPr>
              <w:t>The American Data Privacy and Protection Act (ADPPA)</w:t>
            </w:r>
            <w:r>
              <w:rPr>
                <w:noProof/>
                <w:webHidden/>
              </w:rPr>
              <w:tab/>
            </w:r>
            <w:r>
              <w:rPr>
                <w:noProof/>
                <w:webHidden/>
              </w:rPr>
              <w:fldChar w:fldCharType="begin"/>
            </w:r>
            <w:r>
              <w:rPr>
                <w:noProof/>
                <w:webHidden/>
              </w:rPr>
              <w:instrText xml:space="preserve"> PAGEREF _Toc224031125 \h </w:instrText>
            </w:r>
            <w:r>
              <w:rPr>
                <w:noProof/>
                <w:webHidden/>
              </w:rPr>
            </w:r>
            <w:r>
              <w:rPr>
                <w:noProof/>
                <w:webHidden/>
              </w:rPr>
              <w:fldChar w:fldCharType="separate"/>
            </w:r>
            <w:r>
              <w:rPr>
                <w:noProof/>
                <w:webHidden/>
              </w:rPr>
              <w:t>14</w:t>
            </w:r>
            <w:r>
              <w:rPr>
                <w:noProof/>
                <w:webHidden/>
              </w:rPr>
              <w:fldChar w:fldCharType="end"/>
            </w:r>
          </w:hyperlink>
        </w:p>
        <w:p w14:paraId="6056601E" w14:textId="00E19158" w:rsidR="00F34611" w:rsidRDefault="00F34611">
          <w:pPr>
            <w:pStyle w:val="TOC2"/>
            <w:tabs>
              <w:tab w:val="right" w:leader="dot" w:pos="9350"/>
            </w:tabs>
            <w:rPr>
              <w:rFonts w:asciiTheme="minorHAnsi" w:eastAsiaTheme="minorEastAsia" w:hAnsiTheme="minorHAnsi"/>
              <w:noProof/>
              <w:sz w:val="24"/>
            </w:rPr>
          </w:pPr>
          <w:hyperlink w:anchor="_Toc224031126" w:history="1">
            <w:r w:rsidRPr="004F7C2C">
              <w:rPr>
                <w:rStyle w:val="Hyperlink"/>
                <w:noProof/>
              </w:rPr>
              <w:t>Key Philosophical Differences on Data Privacy between US and EU</w:t>
            </w:r>
            <w:r>
              <w:rPr>
                <w:noProof/>
                <w:webHidden/>
              </w:rPr>
              <w:tab/>
            </w:r>
            <w:r>
              <w:rPr>
                <w:noProof/>
                <w:webHidden/>
              </w:rPr>
              <w:fldChar w:fldCharType="begin"/>
            </w:r>
            <w:r>
              <w:rPr>
                <w:noProof/>
                <w:webHidden/>
              </w:rPr>
              <w:instrText xml:space="preserve"> PAGEREF _Toc224031126 \h </w:instrText>
            </w:r>
            <w:r>
              <w:rPr>
                <w:noProof/>
                <w:webHidden/>
              </w:rPr>
            </w:r>
            <w:r>
              <w:rPr>
                <w:noProof/>
                <w:webHidden/>
              </w:rPr>
              <w:fldChar w:fldCharType="separate"/>
            </w:r>
            <w:r>
              <w:rPr>
                <w:noProof/>
                <w:webHidden/>
              </w:rPr>
              <w:t>14</w:t>
            </w:r>
            <w:r>
              <w:rPr>
                <w:noProof/>
                <w:webHidden/>
              </w:rPr>
              <w:fldChar w:fldCharType="end"/>
            </w:r>
          </w:hyperlink>
        </w:p>
        <w:p w14:paraId="6CB2403A" w14:textId="31CCC932" w:rsidR="00F34611" w:rsidRDefault="00F34611">
          <w:pPr>
            <w:pStyle w:val="TOC2"/>
            <w:tabs>
              <w:tab w:val="right" w:leader="dot" w:pos="9350"/>
            </w:tabs>
            <w:rPr>
              <w:rFonts w:asciiTheme="minorHAnsi" w:eastAsiaTheme="minorEastAsia" w:hAnsiTheme="minorHAnsi"/>
              <w:noProof/>
              <w:sz w:val="24"/>
            </w:rPr>
          </w:pPr>
          <w:hyperlink w:anchor="_Toc224031127" w:history="1">
            <w:r w:rsidRPr="004F7C2C">
              <w:rPr>
                <w:rStyle w:val="Hyperlink"/>
                <w:noProof/>
              </w:rPr>
              <w:t>Countries with similar Data Privacy Laws to GDPR</w:t>
            </w:r>
            <w:r>
              <w:rPr>
                <w:noProof/>
                <w:webHidden/>
              </w:rPr>
              <w:tab/>
            </w:r>
            <w:r>
              <w:rPr>
                <w:noProof/>
                <w:webHidden/>
              </w:rPr>
              <w:fldChar w:fldCharType="begin"/>
            </w:r>
            <w:r>
              <w:rPr>
                <w:noProof/>
                <w:webHidden/>
              </w:rPr>
              <w:instrText xml:space="preserve"> PAGEREF _Toc224031127 \h </w:instrText>
            </w:r>
            <w:r>
              <w:rPr>
                <w:noProof/>
                <w:webHidden/>
              </w:rPr>
            </w:r>
            <w:r>
              <w:rPr>
                <w:noProof/>
                <w:webHidden/>
              </w:rPr>
              <w:fldChar w:fldCharType="separate"/>
            </w:r>
            <w:r>
              <w:rPr>
                <w:noProof/>
                <w:webHidden/>
              </w:rPr>
              <w:t>15</w:t>
            </w:r>
            <w:r>
              <w:rPr>
                <w:noProof/>
                <w:webHidden/>
              </w:rPr>
              <w:fldChar w:fldCharType="end"/>
            </w:r>
          </w:hyperlink>
        </w:p>
        <w:p w14:paraId="0D56EF67" w14:textId="33D00DA7" w:rsidR="00F34611" w:rsidRDefault="00F34611">
          <w:pPr>
            <w:pStyle w:val="TOC1"/>
            <w:tabs>
              <w:tab w:val="right" w:leader="dot" w:pos="9350"/>
            </w:tabs>
            <w:rPr>
              <w:rFonts w:asciiTheme="minorHAnsi" w:eastAsiaTheme="minorEastAsia" w:hAnsiTheme="minorHAnsi"/>
              <w:noProof/>
              <w:sz w:val="24"/>
            </w:rPr>
          </w:pPr>
          <w:hyperlink w:anchor="_Toc224031128" w:history="1">
            <w:r w:rsidRPr="004F7C2C">
              <w:rPr>
                <w:rStyle w:val="Hyperlink"/>
                <w:noProof/>
              </w:rPr>
              <w:t>Jurisdictional Law</w:t>
            </w:r>
            <w:r>
              <w:rPr>
                <w:noProof/>
                <w:webHidden/>
              </w:rPr>
              <w:tab/>
            </w:r>
            <w:r>
              <w:rPr>
                <w:noProof/>
                <w:webHidden/>
              </w:rPr>
              <w:fldChar w:fldCharType="begin"/>
            </w:r>
            <w:r>
              <w:rPr>
                <w:noProof/>
                <w:webHidden/>
              </w:rPr>
              <w:instrText xml:space="preserve"> PAGEREF _Toc224031128 \h </w:instrText>
            </w:r>
            <w:r>
              <w:rPr>
                <w:noProof/>
                <w:webHidden/>
              </w:rPr>
            </w:r>
            <w:r>
              <w:rPr>
                <w:noProof/>
                <w:webHidden/>
              </w:rPr>
              <w:fldChar w:fldCharType="separate"/>
            </w:r>
            <w:r>
              <w:rPr>
                <w:noProof/>
                <w:webHidden/>
              </w:rPr>
              <w:t>17</w:t>
            </w:r>
            <w:r>
              <w:rPr>
                <w:noProof/>
                <w:webHidden/>
              </w:rPr>
              <w:fldChar w:fldCharType="end"/>
            </w:r>
          </w:hyperlink>
        </w:p>
        <w:p w14:paraId="5B2AFF7C" w14:textId="125DBEAB" w:rsidR="00F34611" w:rsidRDefault="00F34611">
          <w:pPr>
            <w:pStyle w:val="TOC2"/>
            <w:tabs>
              <w:tab w:val="right" w:leader="dot" w:pos="9350"/>
            </w:tabs>
            <w:rPr>
              <w:rFonts w:asciiTheme="minorHAnsi" w:eastAsiaTheme="minorEastAsia" w:hAnsiTheme="minorHAnsi"/>
              <w:noProof/>
              <w:sz w:val="24"/>
            </w:rPr>
          </w:pPr>
          <w:hyperlink w:anchor="_Toc224031129" w:history="1">
            <w:r w:rsidRPr="004F7C2C">
              <w:rPr>
                <w:rStyle w:val="Hyperlink"/>
                <w:noProof/>
              </w:rPr>
              <w:t>United States</w:t>
            </w:r>
            <w:r>
              <w:rPr>
                <w:noProof/>
                <w:webHidden/>
              </w:rPr>
              <w:tab/>
            </w:r>
            <w:r>
              <w:rPr>
                <w:noProof/>
                <w:webHidden/>
              </w:rPr>
              <w:fldChar w:fldCharType="begin"/>
            </w:r>
            <w:r>
              <w:rPr>
                <w:noProof/>
                <w:webHidden/>
              </w:rPr>
              <w:instrText xml:space="preserve"> PAGEREF _Toc224031129 \h </w:instrText>
            </w:r>
            <w:r>
              <w:rPr>
                <w:noProof/>
                <w:webHidden/>
              </w:rPr>
            </w:r>
            <w:r>
              <w:rPr>
                <w:noProof/>
                <w:webHidden/>
              </w:rPr>
              <w:fldChar w:fldCharType="separate"/>
            </w:r>
            <w:r>
              <w:rPr>
                <w:noProof/>
                <w:webHidden/>
              </w:rPr>
              <w:t>17</w:t>
            </w:r>
            <w:r>
              <w:rPr>
                <w:noProof/>
                <w:webHidden/>
              </w:rPr>
              <w:fldChar w:fldCharType="end"/>
            </w:r>
          </w:hyperlink>
        </w:p>
        <w:p w14:paraId="1B981350" w14:textId="0CFFA036" w:rsidR="00F34611" w:rsidRDefault="00F34611">
          <w:pPr>
            <w:pStyle w:val="TOC2"/>
            <w:tabs>
              <w:tab w:val="right" w:leader="dot" w:pos="9350"/>
            </w:tabs>
            <w:rPr>
              <w:rFonts w:asciiTheme="minorHAnsi" w:eastAsiaTheme="minorEastAsia" w:hAnsiTheme="minorHAnsi"/>
              <w:noProof/>
              <w:sz w:val="24"/>
            </w:rPr>
          </w:pPr>
          <w:hyperlink w:anchor="_Toc224031130" w:history="1">
            <w:r w:rsidRPr="004F7C2C">
              <w:rPr>
                <w:rStyle w:val="Hyperlink"/>
                <w:noProof/>
              </w:rPr>
              <w:t>Global Jurisdiction Laws</w:t>
            </w:r>
            <w:r>
              <w:rPr>
                <w:noProof/>
                <w:webHidden/>
              </w:rPr>
              <w:tab/>
            </w:r>
            <w:r>
              <w:rPr>
                <w:noProof/>
                <w:webHidden/>
              </w:rPr>
              <w:fldChar w:fldCharType="begin"/>
            </w:r>
            <w:r>
              <w:rPr>
                <w:noProof/>
                <w:webHidden/>
              </w:rPr>
              <w:instrText xml:space="preserve"> PAGEREF _Toc224031130 \h </w:instrText>
            </w:r>
            <w:r>
              <w:rPr>
                <w:noProof/>
                <w:webHidden/>
              </w:rPr>
            </w:r>
            <w:r>
              <w:rPr>
                <w:noProof/>
                <w:webHidden/>
              </w:rPr>
              <w:fldChar w:fldCharType="separate"/>
            </w:r>
            <w:r>
              <w:rPr>
                <w:noProof/>
                <w:webHidden/>
              </w:rPr>
              <w:t>18</w:t>
            </w:r>
            <w:r>
              <w:rPr>
                <w:noProof/>
                <w:webHidden/>
              </w:rPr>
              <w:fldChar w:fldCharType="end"/>
            </w:r>
          </w:hyperlink>
        </w:p>
        <w:p w14:paraId="3429A0AE" w14:textId="57861304" w:rsidR="00F34611" w:rsidRDefault="00F34611">
          <w:pPr>
            <w:pStyle w:val="TOC2"/>
            <w:tabs>
              <w:tab w:val="right" w:leader="dot" w:pos="9350"/>
            </w:tabs>
            <w:rPr>
              <w:rFonts w:asciiTheme="minorHAnsi" w:eastAsiaTheme="minorEastAsia" w:hAnsiTheme="minorHAnsi"/>
              <w:noProof/>
              <w:sz w:val="24"/>
            </w:rPr>
          </w:pPr>
          <w:hyperlink w:anchor="_Toc224031131" w:history="1">
            <w:r w:rsidRPr="004F7C2C">
              <w:rPr>
                <w:rStyle w:val="Hyperlink"/>
                <w:noProof/>
              </w:rPr>
              <w:t>Privacy vs Jurisdiction</w:t>
            </w:r>
            <w:r>
              <w:rPr>
                <w:noProof/>
                <w:webHidden/>
              </w:rPr>
              <w:tab/>
            </w:r>
            <w:r>
              <w:rPr>
                <w:noProof/>
                <w:webHidden/>
              </w:rPr>
              <w:fldChar w:fldCharType="begin"/>
            </w:r>
            <w:r>
              <w:rPr>
                <w:noProof/>
                <w:webHidden/>
              </w:rPr>
              <w:instrText xml:space="preserve"> PAGEREF _Toc224031131 \h </w:instrText>
            </w:r>
            <w:r>
              <w:rPr>
                <w:noProof/>
                <w:webHidden/>
              </w:rPr>
            </w:r>
            <w:r>
              <w:rPr>
                <w:noProof/>
                <w:webHidden/>
              </w:rPr>
              <w:fldChar w:fldCharType="separate"/>
            </w:r>
            <w:r>
              <w:rPr>
                <w:noProof/>
                <w:webHidden/>
              </w:rPr>
              <w:t>19</w:t>
            </w:r>
            <w:r>
              <w:rPr>
                <w:noProof/>
                <w:webHidden/>
              </w:rPr>
              <w:fldChar w:fldCharType="end"/>
            </w:r>
          </w:hyperlink>
        </w:p>
        <w:p w14:paraId="3C060B07" w14:textId="51ABC626" w:rsidR="00F34611" w:rsidRDefault="00F34611">
          <w:pPr>
            <w:pStyle w:val="TOC2"/>
            <w:tabs>
              <w:tab w:val="right" w:leader="dot" w:pos="9350"/>
            </w:tabs>
            <w:rPr>
              <w:rFonts w:asciiTheme="minorHAnsi" w:eastAsiaTheme="minorEastAsia" w:hAnsiTheme="minorHAnsi"/>
              <w:noProof/>
              <w:sz w:val="24"/>
            </w:rPr>
          </w:pPr>
          <w:hyperlink w:anchor="_Toc224031132" w:history="1">
            <w:r w:rsidRPr="004F7C2C">
              <w:rPr>
                <w:rStyle w:val="Hyperlink"/>
                <w:noProof/>
              </w:rPr>
              <w:t>Legal Risk Considerations</w:t>
            </w:r>
            <w:r>
              <w:rPr>
                <w:noProof/>
                <w:webHidden/>
              </w:rPr>
              <w:tab/>
            </w:r>
            <w:r>
              <w:rPr>
                <w:noProof/>
                <w:webHidden/>
              </w:rPr>
              <w:fldChar w:fldCharType="begin"/>
            </w:r>
            <w:r>
              <w:rPr>
                <w:noProof/>
                <w:webHidden/>
              </w:rPr>
              <w:instrText xml:space="preserve"> PAGEREF _Toc224031132 \h </w:instrText>
            </w:r>
            <w:r>
              <w:rPr>
                <w:noProof/>
                <w:webHidden/>
              </w:rPr>
            </w:r>
            <w:r>
              <w:rPr>
                <w:noProof/>
                <w:webHidden/>
              </w:rPr>
              <w:fldChar w:fldCharType="separate"/>
            </w:r>
            <w:r>
              <w:rPr>
                <w:noProof/>
                <w:webHidden/>
              </w:rPr>
              <w:t>19</w:t>
            </w:r>
            <w:r>
              <w:rPr>
                <w:noProof/>
                <w:webHidden/>
              </w:rPr>
              <w:fldChar w:fldCharType="end"/>
            </w:r>
          </w:hyperlink>
        </w:p>
        <w:p w14:paraId="4EE1E0E3" w14:textId="5B237109" w:rsidR="00F34611" w:rsidRDefault="00F34611">
          <w:pPr>
            <w:pStyle w:val="TOC1"/>
            <w:tabs>
              <w:tab w:val="right" w:leader="dot" w:pos="9350"/>
            </w:tabs>
            <w:rPr>
              <w:rFonts w:asciiTheme="minorHAnsi" w:eastAsiaTheme="minorEastAsia" w:hAnsiTheme="minorHAnsi"/>
              <w:noProof/>
              <w:sz w:val="24"/>
            </w:rPr>
          </w:pPr>
          <w:hyperlink w:anchor="_Toc224031133" w:history="1">
            <w:r w:rsidRPr="004F7C2C">
              <w:rPr>
                <w:rStyle w:val="Hyperlink"/>
                <w:noProof/>
              </w:rPr>
              <w:t>Supply chain and Chain-of-Custody</w:t>
            </w:r>
            <w:r>
              <w:rPr>
                <w:noProof/>
                <w:webHidden/>
              </w:rPr>
              <w:tab/>
            </w:r>
            <w:r>
              <w:rPr>
                <w:noProof/>
                <w:webHidden/>
              </w:rPr>
              <w:fldChar w:fldCharType="begin"/>
            </w:r>
            <w:r>
              <w:rPr>
                <w:noProof/>
                <w:webHidden/>
              </w:rPr>
              <w:instrText xml:space="preserve"> PAGEREF _Toc224031133 \h </w:instrText>
            </w:r>
            <w:r>
              <w:rPr>
                <w:noProof/>
                <w:webHidden/>
              </w:rPr>
            </w:r>
            <w:r>
              <w:rPr>
                <w:noProof/>
                <w:webHidden/>
              </w:rPr>
              <w:fldChar w:fldCharType="separate"/>
            </w:r>
            <w:r>
              <w:rPr>
                <w:noProof/>
                <w:webHidden/>
              </w:rPr>
              <w:t>20</w:t>
            </w:r>
            <w:r>
              <w:rPr>
                <w:noProof/>
                <w:webHidden/>
              </w:rPr>
              <w:fldChar w:fldCharType="end"/>
            </w:r>
          </w:hyperlink>
        </w:p>
        <w:p w14:paraId="4A7D3A08" w14:textId="16ACBA13" w:rsidR="00F34611" w:rsidRDefault="00F34611">
          <w:pPr>
            <w:pStyle w:val="TOC2"/>
            <w:tabs>
              <w:tab w:val="right" w:leader="dot" w:pos="9350"/>
            </w:tabs>
            <w:rPr>
              <w:rFonts w:asciiTheme="minorHAnsi" w:eastAsiaTheme="minorEastAsia" w:hAnsiTheme="minorHAnsi"/>
              <w:noProof/>
              <w:sz w:val="24"/>
            </w:rPr>
          </w:pPr>
          <w:hyperlink w:anchor="_Toc224031134" w:history="1">
            <w:r w:rsidRPr="004F7C2C">
              <w:rPr>
                <w:rStyle w:val="Hyperlink"/>
                <w:noProof/>
              </w:rPr>
              <w:t>Hardware: Raw Materials and Critical Minerals</w:t>
            </w:r>
            <w:r>
              <w:rPr>
                <w:noProof/>
                <w:webHidden/>
              </w:rPr>
              <w:tab/>
            </w:r>
            <w:r>
              <w:rPr>
                <w:noProof/>
                <w:webHidden/>
              </w:rPr>
              <w:fldChar w:fldCharType="begin"/>
            </w:r>
            <w:r>
              <w:rPr>
                <w:noProof/>
                <w:webHidden/>
              </w:rPr>
              <w:instrText xml:space="preserve"> PAGEREF _Toc224031134 \h </w:instrText>
            </w:r>
            <w:r>
              <w:rPr>
                <w:noProof/>
                <w:webHidden/>
              </w:rPr>
            </w:r>
            <w:r>
              <w:rPr>
                <w:noProof/>
                <w:webHidden/>
              </w:rPr>
              <w:fldChar w:fldCharType="separate"/>
            </w:r>
            <w:r>
              <w:rPr>
                <w:noProof/>
                <w:webHidden/>
              </w:rPr>
              <w:t>20</w:t>
            </w:r>
            <w:r>
              <w:rPr>
                <w:noProof/>
                <w:webHidden/>
              </w:rPr>
              <w:fldChar w:fldCharType="end"/>
            </w:r>
          </w:hyperlink>
        </w:p>
        <w:p w14:paraId="41282F61" w14:textId="59286D83" w:rsidR="00F34611" w:rsidRDefault="00F34611">
          <w:pPr>
            <w:pStyle w:val="TOC2"/>
            <w:tabs>
              <w:tab w:val="right" w:leader="dot" w:pos="9350"/>
            </w:tabs>
            <w:rPr>
              <w:rFonts w:asciiTheme="minorHAnsi" w:eastAsiaTheme="minorEastAsia" w:hAnsiTheme="minorHAnsi"/>
              <w:noProof/>
              <w:sz w:val="24"/>
            </w:rPr>
          </w:pPr>
          <w:hyperlink w:anchor="_Toc224031135" w:history="1">
            <w:r w:rsidRPr="004F7C2C">
              <w:rPr>
                <w:rStyle w:val="Hyperlink"/>
                <w:noProof/>
              </w:rPr>
              <w:t>Chip Design and Electronic Design Automation (EDA Tools)</w:t>
            </w:r>
            <w:r>
              <w:rPr>
                <w:noProof/>
                <w:webHidden/>
              </w:rPr>
              <w:tab/>
            </w:r>
            <w:r>
              <w:rPr>
                <w:noProof/>
                <w:webHidden/>
              </w:rPr>
              <w:fldChar w:fldCharType="begin"/>
            </w:r>
            <w:r>
              <w:rPr>
                <w:noProof/>
                <w:webHidden/>
              </w:rPr>
              <w:instrText xml:space="preserve"> PAGEREF _Toc224031135 \h </w:instrText>
            </w:r>
            <w:r>
              <w:rPr>
                <w:noProof/>
                <w:webHidden/>
              </w:rPr>
            </w:r>
            <w:r>
              <w:rPr>
                <w:noProof/>
                <w:webHidden/>
              </w:rPr>
              <w:fldChar w:fldCharType="separate"/>
            </w:r>
            <w:r>
              <w:rPr>
                <w:noProof/>
                <w:webHidden/>
              </w:rPr>
              <w:t>21</w:t>
            </w:r>
            <w:r>
              <w:rPr>
                <w:noProof/>
                <w:webHidden/>
              </w:rPr>
              <w:fldChar w:fldCharType="end"/>
            </w:r>
          </w:hyperlink>
        </w:p>
        <w:p w14:paraId="3DAE7A59" w14:textId="73AA99E8" w:rsidR="00F34611" w:rsidRDefault="00F34611">
          <w:pPr>
            <w:pStyle w:val="TOC2"/>
            <w:tabs>
              <w:tab w:val="right" w:leader="dot" w:pos="9350"/>
            </w:tabs>
            <w:rPr>
              <w:rFonts w:asciiTheme="minorHAnsi" w:eastAsiaTheme="minorEastAsia" w:hAnsiTheme="minorHAnsi"/>
              <w:noProof/>
              <w:sz w:val="24"/>
            </w:rPr>
          </w:pPr>
          <w:hyperlink w:anchor="_Toc224031136" w:history="1">
            <w:r w:rsidRPr="004F7C2C">
              <w:rPr>
                <w:rStyle w:val="Hyperlink"/>
                <w:noProof/>
              </w:rPr>
              <w:t>Semiconductor Fabrication Equipment</w:t>
            </w:r>
            <w:r>
              <w:rPr>
                <w:noProof/>
                <w:webHidden/>
              </w:rPr>
              <w:tab/>
            </w:r>
            <w:r>
              <w:rPr>
                <w:noProof/>
                <w:webHidden/>
              </w:rPr>
              <w:fldChar w:fldCharType="begin"/>
            </w:r>
            <w:r>
              <w:rPr>
                <w:noProof/>
                <w:webHidden/>
              </w:rPr>
              <w:instrText xml:space="preserve"> PAGEREF _Toc224031136 \h </w:instrText>
            </w:r>
            <w:r>
              <w:rPr>
                <w:noProof/>
                <w:webHidden/>
              </w:rPr>
            </w:r>
            <w:r>
              <w:rPr>
                <w:noProof/>
                <w:webHidden/>
              </w:rPr>
              <w:fldChar w:fldCharType="separate"/>
            </w:r>
            <w:r>
              <w:rPr>
                <w:noProof/>
                <w:webHidden/>
              </w:rPr>
              <w:t>21</w:t>
            </w:r>
            <w:r>
              <w:rPr>
                <w:noProof/>
                <w:webHidden/>
              </w:rPr>
              <w:fldChar w:fldCharType="end"/>
            </w:r>
          </w:hyperlink>
        </w:p>
        <w:p w14:paraId="69988790" w14:textId="7CB54496" w:rsidR="00F34611" w:rsidRDefault="00F34611">
          <w:pPr>
            <w:pStyle w:val="TOC2"/>
            <w:tabs>
              <w:tab w:val="right" w:leader="dot" w:pos="9350"/>
            </w:tabs>
            <w:rPr>
              <w:rFonts w:asciiTheme="minorHAnsi" w:eastAsiaTheme="minorEastAsia" w:hAnsiTheme="minorHAnsi"/>
              <w:noProof/>
              <w:sz w:val="24"/>
            </w:rPr>
          </w:pPr>
          <w:hyperlink w:anchor="_Toc224031137" w:history="1">
            <w:r w:rsidRPr="004F7C2C">
              <w:rPr>
                <w:rStyle w:val="Hyperlink"/>
                <w:noProof/>
              </w:rPr>
              <w:t>Wafer Fabrication (Foundry)</w:t>
            </w:r>
            <w:r>
              <w:rPr>
                <w:noProof/>
                <w:webHidden/>
              </w:rPr>
              <w:tab/>
            </w:r>
            <w:r>
              <w:rPr>
                <w:noProof/>
                <w:webHidden/>
              </w:rPr>
              <w:fldChar w:fldCharType="begin"/>
            </w:r>
            <w:r>
              <w:rPr>
                <w:noProof/>
                <w:webHidden/>
              </w:rPr>
              <w:instrText xml:space="preserve"> PAGEREF _Toc224031137 \h </w:instrText>
            </w:r>
            <w:r>
              <w:rPr>
                <w:noProof/>
                <w:webHidden/>
              </w:rPr>
            </w:r>
            <w:r>
              <w:rPr>
                <w:noProof/>
                <w:webHidden/>
              </w:rPr>
              <w:fldChar w:fldCharType="separate"/>
            </w:r>
            <w:r>
              <w:rPr>
                <w:noProof/>
                <w:webHidden/>
              </w:rPr>
              <w:t>22</w:t>
            </w:r>
            <w:r>
              <w:rPr>
                <w:noProof/>
                <w:webHidden/>
              </w:rPr>
              <w:fldChar w:fldCharType="end"/>
            </w:r>
          </w:hyperlink>
        </w:p>
        <w:p w14:paraId="1B959A59" w14:textId="31AAD712" w:rsidR="00F34611" w:rsidRDefault="00F34611">
          <w:pPr>
            <w:pStyle w:val="TOC2"/>
            <w:tabs>
              <w:tab w:val="right" w:leader="dot" w:pos="9350"/>
            </w:tabs>
            <w:rPr>
              <w:rFonts w:asciiTheme="minorHAnsi" w:eastAsiaTheme="minorEastAsia" w:hAnsiTheme="minorHAnsi"/>
              <w:noProof/>
              <w:sz w:val="24"/>
            </w:rPr>
          </w:pPr>
          <w:hyperlink w:anchor="_Toc224031138" w:history="1">
            <w:r w:rsidRPr="004F7C2C">
              <w:rPr>
                <w:rStyle w:val="Hyperlink"/>
                <w:noProof/>
              </w:rPr>
              <w:t>Advanced Packaging</w:t>
            </w:r>
            <w:r>
              <w:rPr>
                <w:noProof/>
                <w:webHidden/>
              </w:rPr>
              <w:tab/>
            </w:r>
            <w:r>
              <w:rPr>
                <w:noProof/>
                <w:webHidden/>
              </w:rPr>
              <w:fldChar w:fldCharType="begin"/>
            </w:r>
            <w:r>
              <w:rPr>
                <w:noProof/>
                <w:webHidden/>
              </w:rPr>
              <w:instrText xml:space="preserve"> PAGEREF _Toc224031138 \h </w:instrText>
            </w:r>
            <w:r>
              <w:rPr>
                <w:noProof/>
                <w:webHidden/>
              </w:rPr>
            </w:r>
            <w:r>
              <w:rPr>
                <w:noProof/>
                <w:webHidden/>
              </w:rPr>
              <w:fldChar w:fldCharType="separate"/>
            </w:r>
            <w:r>
              <w:rPr>
                <w:noProof/>
                <w:webHidden/>
              </w:rPr>
              <w:t>22</w:t>
            </w:r>
            <w:r>
              <w:rPr>
                <w:noProof/>
                <w:webHidden/>
              </w:rPr>
              <w:fldChar w:fldCharType="end"/>
            </w:r>
          </w:hyperlink>
        </w:p>
        <w:p w14:paraId="554F058C" w14:textId="472AA8A0" w:rsidR="00F34611" w:rsidRDefault="00F34611">
          <w:pPr>
            <w:pStyle w:val="TOC2"/>
            <w:tabs>
              <w:tab w:val="right" w:leader="dot" w:pos="9350"/>
            </w:tabs>
            <w:rPr>
              <w:rFonts w:asciiTheme="minorHAnsi" w:eastAsiaTheme="minorEastAsia" w:hAnsiTheme="minorHAnsi"/>
              <w:noProof/>
              <w:sz w:val="24"/>
            </w:rPr>
          </w:pPr>
          <w:hyperlink w:anchor="_Toc224031139" w:history="1">
            <w:r w:rsidRPr="004F7C2C">
              <w:rPr>
                <w:rStyle w:val="Hyperlink"/>
                <w:noProof/>
              </w:rPr>
              <w:t>The AI Chip Itself</w:t>
            </w:r>
            <w:r>
              <w:rPr>
                <w:noProof/>
                <w:webHidden/>
              </w:rPr>
              <w:tab/>
            </w:r>
            <w:r>
              <w:rPr>
                <w:noProof/>
                <w:webHidden/>
              </w:rPr>
              <w:fldChar w:fldCharType="begin"/>
            </w:r>
            <w:r>
              <w:rPr>
                <w:noProof/>
                <w:webHidden/>
              </w:rPr>
              <w:instrText xml:space="preserve"> PAGEREF _Toc224031139 \h </w:instrText>
            </w:r>
            <w:r>
              <w:rPr>
                <w:noProof/>
                <w:webHidden/>
              </w:rPr>
            </w:r>
            <w:r>
              <w:rPr>
                <w:noProof/>
                <w:webHidden/>
              </w:rPr>
              <w:fldChar w:fldCharType="separate"/>
            </w:r>
            <w:r>
              <w:rPr>
                <w:noProof/>
                <w:webHidden/>
              </w:rPr>
              <w:t>23</w:t>
            </w:r>
            <w:r>
              <w:rPr>
                <w:noProof/>
                <w:webHidden/>
              </w:rPr>
              <w:fldChar w:fldCharType="end"/>
            </w:r>
          </w:hyperlink>
        </w:p>
        <w:p w14:paraId="5394B50F" w14:textId="26D1CB3E" w:rsidR="00F34611" w:rsidRDefault="00F34611">
          <w:pPr>
            <w:pStyle w:val="TOC2"/>
            <w:tabs>
              <w:tab w:val="right" w:leader="dot" w:pos="9350"/>
            </w:tabs>
            <w:rPr>
              <w:rFonts w:asciiTheme="minorHAnsi" w:eastAsiaTheme="minorEastAsia" w:hAnsiTheme="minorHAnsi"/>
              <w:noProof/>
              <w:sz w:val="24"/>
            </w:rPr>
          </w:pPr>
          <w:hyperlink w:anchor="_Toc224031140" w:history="1">
            <w:r w:rsidRPr="004F7C2C">
              <w:rPr>
                <w:rStyle w:val="Hyperlink"/>
                <w:noProof/>
              </w:rPr>
              <w:t>Systems Integration and Servers</w:t>
            </w:r>
            <w:r>
              <w:rPr>
                <w:noProof/>
                <w:webHidden/>
              </w:rPr>
              <w:tab/>
            </w:r>
            <w:r>
              <w:rPr>
                <w:noProof/>
                <w:webHidden/>
              </w:rPr>
              <w:fldChar w:fldCharType="begin"/>
            </w:r>
            <w:r>
              <w:rPr>
                <w:noProof/>
                <w:webHidden/>
              </w:rPr>
              <w:instrText xml:space="preserve"> PAGEREF _Toc224031140 \h </w:instrText>
            </w:r>
            <w:r>
              <w:rPr>
                <w:noProof/>
                <w:webHidden/>
              </w:rPr>
            </w:r>
            <w:r>
              <w:rPr>
                <w:noProof/>
                <w:webHidden/>
              </w:rPr>
              <w:fldChar w:fldCharType="separate"/>
            </w:r>
            <w:r>
              <w:rPr>
                <w:noProof/>
                <w:webHidden/>
              </w:rPr>
              <w:t>23</w:t>
            </w:r>
            <w:r>
              <w:rPr>
                <w:noProof/>
                <w:webHidden/>
              </w:rPr>
              <w:fldChar w:fldCharType="end"/>
            </w:r>
          </w:hyperlink>
        </w:p>
        <w:p w14:paraId="0AF2DB31" w14:textId="0A32A535" w:rsidR="00F34611" w:rsidRDefault="00F34611">
          <w:pPr>
            <w:pStyle w:val="TOC2"/>
            <w:tabs>
              <w:tab w:val="right" w:leader="dot" w:pos="9350"/>
            </w:tabs>
            <w:rPr>
              <w:rFonts w:asciiTheme="minorHAnsi" w:eastAsiaTheme="minorEastAsia" w:hAnsiTheme="minorHAnsi"/>
              <w:noProof/>
              <w:sz w:val="24"/>
            </w:rPr>
          </w:pPr>
          <w:hyperlink w:anchor="_Toc224031141" w:history="1">
            <w:r w:rsidRPr="004F7C2C">
              <w:rPr>
                <w:rStyle w:val="Hyperlink"/>
                <w:noProof/>
              </w:rPr>
              <w:t>Software and Firmware</w:t>
            </w:r>
            <w:r>
              <w:rPr>
                <w:noProof/>
                <w:webHidden/>
              </w:rPr>
              <w:tab/>
            </w:r>
            <w:r>
              <w:rPr>
                <w:noProof/>
                <w:webHidden/>
              </w:rPr>
              <w:fldChar w:fldCharType="begin"/>
            </w:r>
            <w:r>
              <w:rPr>
                <w:noProof/>
                <w:webHidden/>
              </w:rPr>
              <w:instrText xml:space="preserve"> PAGEREF _Toc224031141 \h </w:instrText>
            </w:r>
            <w:r>
              <w:rPr>
                <w:noProof/>
                <w:webHidden/>
              </w:rPr>
            </w:r>
            <w:r>
              <w:rPr>
                <w:noProof/>
                <w:webHidden/>
              </w:rPr>
              <w:fldChar w:fldCharType="separate"/>
            </w:r>
            <w:r>
              <w:rPr>
                <w:noProof/>
                <w:webHidden/>
              </w:rPr>
              <w:t>24</w:t>
            </w:r>
            <w:r>
              <w:rPr>
                <w:noProof/>
                <w:webHidden/>
              </w:rPr>
              <w:fldChar w:fldCharType="end"/>
            </w:r>
          </w:hyperlink>
        </w:p>
        <w:p w14:paraId="21CF9901" w14:textId="037AEE43" w:rsidR="00F34611" w:rsidRDefault="00F34611">
          <w:pPr>
            <w:pStyle w:val="TOC2"/>
            <w:tabs>
              <w:tab w:val="right" w:leader="dot" w:pos="9350"/>
            </w:tabs>
            <w:rPr>
              <w:rFonts w:asciiTheme="minorHAnsi" w:eastAsiaTheme="minorEastAsia" w:hAnsiTheme="minorHAnsi"/>
              <w:noProof/>
              <w:sz w:val="24"/>
            </w:rPr>
          </w:pPr>
          <w:hyperlink w:anchor="_Toc224031142" w:history="1">
            <w:r w:rsidRPr="004F7C2C">
              <w:rPr>
                <w:rStyle w:val="Hyperlink"/>
                <w:noProof/>
              </w:rPr>
              <w:t>Hardware Supply Chain Summary</w:t>
            </w:r>
            <w:r>
              <w:rPr>
                <w:noProof/>
                <w:webHidden/>
              </w:rPr>
              <w:tab/>
            </w:r>
            <w:r>
              <w:rPr>
                <w:noProof/>
                <w:webHidden/>
              </w:rPr>
              <w:fldChar w:fldCharType="begin"/>
            </w:r>
            <w:r>
              <w:rPr>
                <w:noProof/>
                <w:webHidden/>
              </w:rPr>
              <w:instrText xml:space="preserve"> PAGEREF _Toc224031142 \h </w:instrText>
            </w:r>
            <w:r>
              <w:rPr>
                <w:noProof/>
                <w:webHidden/>
              </w:rPr>
            </w:r>
            <w:r>
              <w:rPr>
                <w:noProof/>
                <w:webHidden/>
              </w:rPr>
              <w:fldChar w:fldCharType="separate"/>
            </w:r>
            <w:r>
              <w:rPr>
                <w:noProof/>
                <w:webHidden/>
              </w:rPr>
              <w:t>24</w:t>
            </w:r>
            <w:r>
              <w:rPr>
                <w:noProof/>
                <w:webHidden/>
              </w:rPr>
              <w:fldChar w:fldCharType="end"/>
            </w:r>
          </w:hyperlink>
        </w:p>
        <w:p w14:paraId="342D89AA" w14:textId="63FC5079" w:rsidR="00F34611" w:rsidRDefault="00F34611">
          <w:pPr>
            <w:pStyle w:val="TOC1"/>
            <w:tabs>
              <w:tab w:val="right" w:leader="dot" w:pos="9350"/>
            </w:tabs>
            <w:rPr>
              <w:rFonts w:asciiTheme="minorHAnsi" w:eastAsiaTheme="minorEastAsia" w:hAnsiTheme="minorHAnsi"/>
              <w:noProof/>
              <w:sz w:val="24"/>
            </w:rPr>
          </w:pPr>
          <w:hyperlink w:anchor="_Toc224031143" w:history="1">
            <w:r w:rsidRPr="004F7C2C">
              <w:rPr>
                <w:rStyle w:val="Hyperlink"/>
                <w:noProof/>
              </w:rPr>
              <w:t>Systems: Where Sovereignty becomes Operational</w:t>
            </w:r>
            <w:r>
              <w:rPr>
                <w:noProof/>
                <w:webHidden/>
              </w:rPr>
              <w:tab/>
            </w:r>
            <w:r>
              <w:rPr>
                <w:noProof/>
                <w:webHidden/>
              </w:rPr>
              <w:fldChar w:fldCharType="begin"/>
            </w:r>
            <w:r>
              <w:rPr>
                <w:noProof/>
                <w:webHidden/>
              </w:rPr>
              <w:instrText xml:space="preserve"> PAGEREF _Toc224031143 \h </w:instrText>
            </w:r>
            <w:r>
              <w:rPr>
                <w:noProof/>
                <w:webHidden/>
              </w:rPr>
            </w:r>
            <w:r>
              <w:rPr>
                <w:noProof/>
                <w:webHidden/>
              </w:rPr>
              <w:fldChar w:fldCharType="separate"/>
            </w:r>
            <w:r>
              <w:rPr>
                <w:noProof/>
                <w:webHidden/>
              </w:rPr>
              <w:t>25</w:t>
            </w:r>
            <w:r>
              <w:rPr>
                <w:noProof/>
                <w:webHidden/>
              </w:rPr>
              <w:fldChar w:fldCharType="end"/>
            </w:r>
          </w:hyperlink>
        </w:p>
        <w:p w14:paraId="5207117A" w14:textId="0882CFA5" w:rsidR="00F34611" w:rsidRDefault="00F34611">
          <w:pPr>
            <w:pStyle w:val="TOC2"/>
            <w:tabs>
              <w:tab w:val="right" w:leader="dot" w:pos="9350"/>
            </w:tabs>
            <w:rPr>
              <w:rFonts w:asciiTheme="minorHAnsi" w:eastAsiaTheme="minorEastAsia" w:hAnsiTheme="minorHAnsi"/>
              <w:noProof/>
              <w:sz w:val="24"/>
            </w:rPr>
          </w:pPr>
          <w:hyperlink w:anchor="_Toc224031144" w:history="1">
            <w:r w:rsidRPr="004F7C2C">
              <w:rPr>
                <w:rStyle w:val="Hyperlink"/>
                <w:noProof/>
              </w:rPr>
              <w:t>Procurement and Vendor Qualification</w:t>
            </w:r>
            <w:r>
              <w:rPr>
                <w:noProof/>
                <w:webHidden/>
              </w:rPr>
              <w:tab/>
            </w:r>
            <w:r>
              <w:rPr>
                <w:noProof/>
                <w:webHidden/>
              </w:rPr>
              <w:fldChar w:fldCharType="begin"/>
            </w:r>
            <w:r>
              <w:rPr>
                <w:noProof/>
                <w:webHidden/>
              </w:rPr>
              <w:instrText xml:space="preserve"> PAGEREF _Toc224031144 \h </w:instrText>
            </w:r>
            <w:r>
              <w:rPr>
                <w:noProof/>
                <w:webHidden/>
              </w:rPr>
            </w:r>
            <w:r>
              <w:rPr>
                <w:noProof/>
                <w:webHidden/>
              </w:rPr>
              <w:fldChar w:fldCharType="separate"/>
            </w:r>
            <w:r>
              <w:rPr>
                <w:noProof/>
                <w:webHidden/>
              </w:rPr>
              <w:t>25</w:t>
            </w:r>
            <w:r>
              <w:rPr>
                <w:noProof/>
                <w:webHidden/>
              </w:rPr>
              <w:fldChar w:fldCharType="end"/>
            </w:r>
          </w:hyperlink>
        </w:p>
        <w:p w14:paraId="74366389" w14:textId="38EF3498" w:rsidR="00F34611" w:rsidRDefault="00F34611">
          <w:pPr>
            <w:pStyle w:val="TOC2"/>
            <w:tabs>
              <w:tab w:val="right" w:leader="dot" w:pos="9350"/>
            </w:tabs>
            <w:rPr>
              <w:rFonts w:asciiTheme="minorHAnsi" w:eastAsiaTheme="minorEastAsia" w:hAnsiTheme="minorHAnsi"/>
              <w:noProof/>
              <w:sz w:val="24"/>
            </w:rPr>
          </w:pPr>
          <w:hyperlink w:anchor="_Toc224031145" w:history="1">
            <w:r w:rsidRPr="004F7C2C">
              <w:rPr>
                <w:rStyle w:val="Hyperlink"/>
                <w:noProof/>
              </w:rPr>
              <w:t>Manufacturing and Pre-Shipment Verification</w:t>
            </w:r>
            <w:r>
              <w:rPr>
                <w:noProof/>
                <w:webHidden/>
              </w:rPr>
              <w:tab/>
            </w:r>
            <w:r>
              <w:rPr>
                <w:noProof/>
                <w:webHidden/>
              </w:rPr>
              <w:fldChar w:fldCharType="begin"/>
            </w:r>
            <w:r>
              <w:rPr>
                <w:noProof/>
                <w:webHidden/>
              </w:rPr>
              <w:instrText xml:space="preserve"> PAGEREF _Toc224031145 \h </w:instrText>
            </w:r>
            <w:r>
              <w:rPr>
                <w:noProof/>
                <w:webHidden/>
              </w:rPr>
            </w:r>
            <w:r>
              <w:rPr>
                <w:noProof/>
                <w:webHidden/>
              </w:rPr>
              <w:fldChar w:fldCharType="separate"/>
            </w:r>
            <w:r>
              <w:rPr>
                <w:noProof/>
                <w:webHidden/>
              </w:rPr>
              <w:t>27</w:t>
            </w:r>
            <w:r>
              <w:rPr>
                <w:noProof/>
                <w:webHidden/>
              </w:rPr>
              <w:fldChar w:fldCharType="end"/>
            </w:r>
          </w:hyperlink>
        </w:p>
        <w:p w14:paraId="65958663" w14:textId="5A5F5F04" w:rsidR="00F34611" w:rsidRDefault="00F34611">
          <w:pPr>
            <w:pStyle w:val="TOC2"/>
            <w:tabs>
              <w:tab w:val="right" w:leader="dot" w:pos="9350"/>
            </w:tabs>
            <w:rPr>
              <w:rFonts w:asciiTheme="minorHAnsi" w:eastAsiaTheme="minorEastAsia" w:hAnsiTheme="minorHAnsi"/>
              <w:noProof/>
              <w:sz w:val="24"/>
            </w:rPr>
          </w:pPr>
          <w:hyperlink w:anchor="_Toc224031146" w:history="1">
            <w:r w:rsidRPr="004F7C2C">
              <w:rPr>
                <w:rStyle w:val="Hyperlink"/>
                <w:noProof/>
              </w:rPr>
              <w:t>Logistics and Transit Chain-of-Custody</w:t>
            </w:r>
            <w:r>
              <w:rPr>
                <w:noProof/>
                <w:webHidden/>
              </w:rPr>
              <w:tab/>
            </w:r>
            <w:r>
              <w:rPr>
                <w:noProof/>
                <w:webHidden/>
              </w:rPr>
              <w:fldChar w:fldCharType="begin"/>
            </w:r>
            <w:r>
              <w:rPr>
                <w:noProof/>
                <w:webHidden/>
              </w:rPr>
              <w:instrText xml:space="preserve"> PAGEREF _Toc224031146 \h </w:instrText>
            </w:r>
            <w:r>
              <w:rPr>
                <w:noProof/>
                <w:webHidden/>
              </w:rPr>
            </w:r>
            <w:r>
              <w:rPr>
                <w:noProof/>
                <w:webHidden/>
              </w:rPr>
              <w:fldChar w:fldCharType="separate"/>
            </w:r>
            <w:r>
              <w:rPr>
                <w:noProof/>
                <w:webHidden/>
              </w:rPr>
              <w:t>27</w:t>
            </w:r>
            <w:r>
              <w:rPr>
                <w:noProof/>
                <w:webHidden/>
              </w:rPr>
              <w:fldChar w:fldCharType="end"/>
            </w:r>
          </w:hyperlink>
        </w:p>
        <w:p w14:paraId="34517B7A" w14:textId="2F6D11C3" w:rsidR="00F34611" w:rsidRDefault="00F34611">
          <w:pPr>
            <w:pStyle w:val="TOC2"/>
            <w:tabs>
              <w:tab w:val="right" w:leader="dot" w:pos="9350"/>
            </w:tabs>
            <w:rPr>
              <w:rFonts w:asciiTheme="minorHAnsi" w:eastAsiaTheme="minorEastAsia" w:hAnsiTheme="minorHAnsi"/>
              <w:noProof/>
              <w:sz w:val="24"/>
            </w:rPr>
          </w:pPr>
          <w:hyperlink w:anchor="_Toc224031147" w:history="1">
            <w:r w:rsidRPr="004F7C2C">
              <w:rPr>
                <w:rStyle w:val="Hyperlink"/>
                <w:noProof/>
              </w:rPr>
              <w:t>Receiving and Incoming Inspection</w:t>
            </w:r>
            <w:r>
              <w:rPr>
                <w:noProof/>
                <w:webHidden/>
              </w:rPr>
              <w:tab/>
            </w:r>
            <w:r>
              <w:rPr>
                <w:noProof/>
                <w:webHidden/>
              </w:rPr>
              <w:fldChar w:fldCharType="begin"/>
            </w:r>
            <w:r>
              <w:rPr>
                <w:noProof/>
                <w:webHidden/>
              </w:rPr>
              <w:instrText xml:space="preserve"> PAGEREF _Toc224031147 \h </w:instrText>
            </w:r>
            <w:r>
              <w:rPr>
                <w:noProof/>
                <w:webHidden/>
              </w:rPr>
            </w:r>
            <w:r>
              <w:rPr>
                <w:noProof/>
                <w:webHidden/>
              </w:rPr>
              <w:fldChar w:fldCharType="separate"/>
            </w:r>
            <w:r>
              <w:rPr>
                <w:noProof/>
                <w:webHidden/>
              </w:rPr>
              <w:t>28</w:t>
            </w:r>
            <w:r>
              <w:rPr>
                <w:noProof/>
                <w:webHidden/>
              </w:rPr>
              <w:fldChar w:fldCharType="end"/>
            </w:r>
          </w:hyperlink>
        </w:p>
        <w:p w14:paraId="34FAC64C" w14:textId="26036DA6" w:rsidR="00F34611" w:rsidRDefault="00F34611">
          <w:pPr>
            <w:pStyle w:val="TOC1"/>
            <w:tabs>
              <w:tab w:val="right" w:leader="dot" w:pos="9350"/>
            </w:tabs>
            <w:rPr>
              <w:rFonts w:asciiTheme="minorHAnsi" w:eastAsiaTheme="minorEastAsia" w:hAnsiTheme="minorHAnsi"/>
              <w:noProof/>
              <w:sz w:val="24"/>
            </w:rPr>
          </w:pPr>
          <w:hyperlink w:anchor="_Toc224031148" w:history="1">
            <w:r w:rsidRPr="004F7C2C">
              <w:rPr>
                <w:rStyle w:val="Hyperlink"/>
                <w:noProof/>
              </w:rPr>
              <w:t>Data Center and Network Infrastructure</w:t>
            </w:r>
            <w:r>
              <w:rPr>
                <w:noProof/>
                <w:webHidden/>
              </w:rPr>
              <w:tab/>
            </w:r>
            <w:r>
              <w:rPr>
                <w:noProof/>
                <w:webHidden/>
              </w:rPr>
              <w:fldChar w:fldCharType="begin"/>
            </w:r>
            <w:r>
              <w:rPr>
                <w:noProof/>
                <w:webHidden/>
              </w:rPr>
              <w:instrText xml:space="preserve"> PAGEREF _Toc224031148 \h </w:instrText>
            </w:r>
            <w:r>
              <w:rPr>
                <w:noProof/>
                <w:webHidden/>
              </w:rPr>
            </w:r>
            <w:r>
              <w:rPr>
                <w:noProof/>
                <w:webHidden/>
              </w:rPr>
              <w:fldChar w:fldCharType="separate"/>
            </w:r>
            <w:r>
              <w:rPr>
                <w:noProof/>
                <w:webHidden/>
              </w:rPr>
              <w:t>28</w:t>
            </w:r>
            <w:r>
              <w:rPr>
                <w:noProof/>
                <w:webHidden/>
              </w:rPr>
              <w:fldChar w:fldCharType="end"/>
            </w:r>
          </w:hyperlink>
        </w:p>
        <w:p w14:paraId="13961652" w14:textId="40D7EECB" w:rsidR="00F34611" w:rsidRDefault="00F34611">
          <w:pPr>
            <w:pStyle w:val="TOC2"/>
            <w:tabs>
              <w:tab w:val="right" w:leader="dot" w:pos="9350"/>
            </w:tabs>
            <w:rPr>
              <w:rFonts w:asciiTheme="minorHAnsi" w:eastAsiaTheme="minorEastAsia" w:hAnsiTheme="minorHAnsi"/>
              <w:noProof/>
              <w:sz w:val="24"/>
            </w:rPr>
          </w:pPr>
          <w:hyperlink w:anchor="_Toc224031149" w:history="1">
            <w:r w:rsidRPr="004F7C2C">
              <w:rPr>
                <w:rStyle w:val="Hyperlink"/>
                <w:noProof/>
              </w:rPr>
              <w:t>Data Center Physical Security</w:t>
            </w:r>
            <w:r>
              <w:rPr>
                <w:noProof/>
                <w:webHidden/>
              </w:rPr>
              <w:tab/>
            </w:r>
            <w:r>
              <w:rPr>
                <w:noProof/>
                <w:webHidden/>
              </w:rPr>
              <w:fldChar w:fldCharType="begin"/>
            </w:r>
            <w:r>
              <w:rPr>
                <w:noProof/>
                <w:webHidden/>
              </w:rPr>
              <w:instrText xml:space="preserve"> PAGEREF _Toc224031149 \h </w:instrText>
            </w:r>
            <w:r>
              <w:rPr>
                <w:noProof/>
                <w:webHidden/>
              </w:rPr>
            </w:r>
            <w:r>
              <w:rPr>
                <w:noProof/>
                <w:webHidden/>
              </w:rPr>
              <w:fldChar w:fldCharType="separate"/>
            </w:r>
            <w:r>
              <w:rPr>
                <w:noProof/>
                <w:webHidden/>
              </w:rPr>
              <w:t>28</w:t>
            </w:r>
            <w:r>
              <w:rPr>
                <w:noProof/>
                <w:webHidden/>
              </w:rPr>
              <w:fldChar w:fldCharType="end"/>
            </w:r>
          </w:hyperlink>
        </w:p>
        <w:p w14:paraId="7FE310EA" w14:textId="491D6069" w:rsidR="00F34611" w:rsidRDefault="00F34611">
          <w:pPr>
            <w:pStyle w:val="TOC2"/>
            <w:tabs>
              <w:tab w:val="right" w:leader="dot" w:pos="9350"/>
            </w:tabs>
            <w:rPr>
              <w:rFonts w:asciiTheme="minorHAnsi" w:eastAsiaTheme="minorEastAsia" w:hAnsiTheme="minorHAnsi"/>
              <w:noProof/>
              <w:sz w:val="24"/>
            </w:rPr>
          </w:pPr>
          <w:hyperlink w:anchor="_Toc224031150" w:history="1">
            <w:r w:rsidRPr="004F7C2C">
              <w:rPr>
                <w:rStyle w:val="Hyperlink"/>
                <w:noProof/>
              </w:rPr>
              <w:t>Network Infrastructure</w:t>
            </w:r>
            <w:r>
              <w:rPr>
                <w:noProof/>
                <w:webHidden/>
              </w:rPr>
              <w:tab/>
            </w:r>
            <w:r>
              <w:rPr>
                <w:noProof/>
                <w:webHidden/>
              </w:rPr>
              <w:fldChar w:fldCharType="begin"/>
            </w:r>
            <w:r>
              <w:rPr>
                <w:noProof/>
                <w:webHidden/>
              </w:rPr>
              <w:instrText xml:space="preserve"> PAGEREF _Toc224031150 \h </w:instrText>
            </w:r>
            <w:r>
              <w:rPr>
                <w:noProof/>
                <w:webHidden/>
              </w:rPr>
            </w:r>
            <w:r>
              <w:rPr>
                <w:noProof/>
                <w:webHidden/>
              </w:rPr>
              <w:fldChar w:fldCharType="separate"/>
            </w:r>
            <w:r>
              <w:rPr>
                <w:noProof/>
                <w:webHidden/>
              </w:rPr>
              <w:t>29</w:t>
            </w:r>
            <w:r>
              <w:rPr>
                <w:noProof/>
                <w:webHidden/>
              </w:rPr>
              <w:fldChar w:fldCharType="end"/>
            </w:r>
          </w:hyperlink>
        </w:p>
        <w:p w14:paraId="450CEC00" w14:textId="6A35DB21" w:rsidR="00F34611" w:rsidRDefault="00F34611">
          <w:pPr>
            <w:pStyle w:val="TOC2"/>
            <w:tabs>
              <w:tab w:val="right" w:leader="dot" w:pos="9350"/>
            </w:tabs>
            <w:rPr>
              <w:rFonts w:asciiTheme="minorHAnsi" w:eastAsiaTheme="minorEastAsia" w:hAnsiTheme="minorHAnsi"/>
              <w:noProof/>
              <w:sz w:val="24"/>
            </w:rPr>
          </w:pPr>
          <w:hyperlink w:anchor="_Toc224031151" w:history="1">
            <w:r w:rsidRPr="004F7C2C">
              <w:rPr>
                <w:rStyle w:val="Hyperlink"/>
                <w:noProof/>
              </w:rPr>
              <w:t>Hyperscaler and Cloud</w:t>
            </w:r>
            <w:r>
              <w:rPr>
                <w:noProof/>
                <w:webHidden/>
              </w:rPr>
              <w:tab/>
            </w:r>
            <w:r>
              <w:rPr>
                <w:noProof/>
                <w:webHidden/>
              </w:rPr>
              <w:fldChar w:fldCharType="begin"/>
            </w:r>
            <w:r>
              <w:rPr>
                <w:noProof/>
                <w:webHidden/>
              </w:rPr>
              <w:instrText xml:space="preserve"> PAGEREF _Toc224031151 \h </w:instrText>
            </w:r>
            <w:r>
              <w:rPr>
                <w:noProof/>
                <w:webHidden/>
              </w:rPr>
            </w:r>
            <w:r>
              <w:rPr>
                <w:noProof/>
                <w:webHidden/>
              </w:rPr>
              <w:fldChar w:fldCharType="separate"/>
            </w:r>
            <w:r>
              <w:rPr>
                <w:noProof/>
                <w:webHidden/>
              </w:rPr>
              <w:t>30</w:t>
            </w:r>
            <w:r>
              <w:rPr>
                <w:noProof/>
                <w:webHidden/>
              </w:rPr>
              <w:fldChar w:fldCharType="end"/>
            </w:r>
          </w:hyperlink>
        </w:p>
        <w:p w14:paraId="1BC693BE" w14:textId="26E481D2" w:rsidR="00F34611" w:rsidRDefault="00F34611">
          <w:pPr>
            <w:pStyle w:val="TOC1"/>
            <w:tabs>
              <w:tab w:val="right" w:leader="dot" w:pos="9350"/>
            </w:tabs>
            <w:rPr>
              <w:rFonts w:asciiTheme="minorHAnsi" w:eastAsiaTheme="minorEastAsia" w:hAnsiTheme="minorHAnsi"/>
              <w:noProof/>
              <w:sz w:val="24"/>
            </w:rPr>
          </w:pPr>
          <w:hyperlink w:anchor="_Toc224031152" w:history="1">
            <w:r w:rsidRPr="004F7C2C">
              <w:rPr>
                <w:rStyle w:val="Hyperlink"/>
                <w:noProof/>
              </w:rPr>
              <w:t>AI Software Stack</w:t>
            </w:r>
            <w:r>
              <w:rPr>
                <w:noProof/>
                <w:webHidden/>
              </w:rPr>
              <w:tab/>
            </w:r>
            <w:r>
              <w:rPr>
                <w:noProof/>
                <w:webHidden/>
              </w:rPr>
              <w:fldChar w:fldCharType="begin"/>
            </w:r>
            <w:r>
              <w:rPr>
                <w:noProof/>
                <w:webHidden/>
              </w:rPr>
              <w:instrText xml:space="preserve"> PAGEREF _Toc224031152 \h </w:instrText>
            </w:r>
            <w:r>
              <w:rPr>
                <w:noProof/>
                <w:webHidden/>
              </w:rPr>
            </w:r>
            <w:r>
              <w:rPr>
                <w:noProof/>
                <w:webHidden/>
              </w:rPr>
              <w:fldChar w:fldCharType="separate"/>
            </w:r>
            <w:r>
              <w:rPr>
                <w:noProof/>
                <w:webHidden/>
              </w:rPr>
              <w:t>31</w:t>
            </w:r>
            <w:r>
              <w:rPr>
                <w:noProof/>
                <w:webHidden/>
              </w:rPr>
              <w:fldChar w:fldCharType="end"/>
            </w:r>
          </w:hyperlink>
        </w:p>
        <w:p w14:paraId="2C1EAE66" w14:textId="04F050DC" w:rsidR="00F34611" w:rsidRDefault="00F34611">
          <w:pPr>
            <w:pStyle w:val="TOC2"/>
            <w:tabs>
              <w:tab w:val="right" w:leader="dot" w:pos="9350"/>
            </w:tabs>
            <w:rPr>
              <w:rFonts w:asciiTheme="minorHAnsi" w:eastAsiaTheme="minorEastAsia" w:hAnsiTheme="minorHAnsi"/>
              <w:noProof/>
              <w:sz w:val="24"/>
            </w:rPr>
          </w:pPr>
          <w:hyperlink w:anchor="_Toc224031153" w:history="1">
            <w:r w:rsidRPr="004F7C2C">
              <w:rPr>
                <w:rStyle w:val="Hyperlink"/>
                <w:noProof/>
              </w:rPr>
              <w:t>Firmware and Low-Level Software</w:t>
            </w:r>
            <w:r>
              <w:rPr>
                <w:noProof/>
                <w:webHidden/>
              </w:rPr>
              <w:tab/>
            </w:r>
            <w:r>
              <w:rPr>
                <w:noProof/>
                <w:webHidden/>
              </w:rPr>
              <w:fldChar w:fldCharType="begin"/>
            </w:r>
            <w:r>
              <w:rPr>
                <w:noProof/>
                <w:webHidden/>
              </w:rPr>
              <w:instrText xml:space="preserve"> PAGEREF _Toc224031153 \h </w:instrText>
            </w:r>
            <w:r>
              <w:rPr>
                <w:noProof/>
                <w:webHidden/>
              </w:rPr>
            </w:r>
            <w:r>
              <w:rPr>
                <w:noProof/>
                <w:webHidden/>
              </w:rPr>
              <w:fldChar w:fldCharType="separate"/>
            </w:r>
            <w:r>
              <w:rPr>
                <w:noProof/>
                <w:webHidden/>
              </w:rPr>
              <w:t>31</w:t>
            </w:r>
            <w:r>
              <w:rPr>
                <w:noProof/>
                <w:webHidden/>
              </w:rPr>
              <w:fldChar w:fldCharType="end"/>
            </w:r>
          </w:hyperlink>
        </w:p>
        <w:p w14:paraId="301558BF" w14:textId="3FB6F400" w:rsidR="00F34611" w:rsidRDefault="00F34611">
          <w:pPr>
            <w:pStyle w:val="TOC2"/>
            <w:tabs>
              <w:tab w:val="right" w:leader="dot" w:pos="9350"/>
            </w:tabs>
            <w:rPr>
              <w:rFonts w:asciiTheme="minorHAnsi" w:eastAsiaTheme="minorEastAsia" w:hAnsiTheme="minorHAnsi"/>
              <w:noProof/>
              <w:sz w:val="24"/>
            </w:rPr>
          </w:pPr>
          <w:hyperlink w:anchor="_Toc224031154" w:history="1">
            <w:r w:rsidRPr="004F7C2C">
              <w:rPr>
                <w:rStyle w:val="Hyperlink"/>
                <w:noProof/>
              </w:rPr>
              <w:t>Operating System</w:t>
            </w:r>
            <w:r>
              <w:rPr>
                <w:noProof/>
                <w:webHidden/>
              </w:rPr>
              <w:tab/>
            </w:r>
            <w:r>
              <w:rPr>
                <w:noProof/>
                <w:webHidden/>
              </w:rPr>
              <w:fldChar w:fldCharType="begin"/>
            </w:r>
            <w:r>
              <w:rPr>
                <w:noProof/>
                <w:webHidden/>
              </w:rPr>
              <w:instrText xml:space="preserve"> PAGEREF _Toc224031154 \h </w:instrText>
            </w:r>
            <w:r>
              <w:rPr>
                <w:noProof/>
                <w:webHidden/>
              </w:rPr>
            </w:r>
            <w:r>
              <w:rPr>
                <w:noProof/>
                <w:webHidden/>
              </w:rPr>
              <w:fldChar w:fldCharType="separate"/>
            </w:r>
            <w:r>
              <w:rPr>
                <w:noProof/>
                <w:webHidden/>
              </w:rPr>
              <w:t>32</w:t>
            </w:r>
            <w:r>
              <w:rPr>
                <w:noProof/>
                <w:webHidden/>
              </w:rPr>
              <w:fldChar w:fldCharType="end"/>
            </w:r>
          </w:hyperlink>
        </w:p>
        <w:p w14:paraId="3DFA5B1F" w14:textId="7B8136A7" w:rsidR="00F34611" w:rsidRDefault="00F34611">
          <w:pPr>
            <w:pStyle w:val="TOC2"/>
            <w:tabs>
              <w:tab w:val="right" w:leader="dot" w:pos="9350"/>
            </w:tabs>
            <w:rPr>
              <w:rFonts w:asciiTheme="minorHAnsi" w:eastAsiaTheme="minorEastAsia" w:hAnsiTheme="minorHAnsi"/>
              <w:noProof/>
              <w:sz w:val="24"/>
            </w:rPr>
          </w:pPr>
          <w:hyperlink w:anchor="_Toc224031155" w:history="1">
            <w:r w:rsidRPr="004F7C2C">
              <w:rPr>
                <w:rStyle w:val="Hyperlink"/>
                <w:noProof/>
              </w:rPr>
              <w:t>Containerization and Orchestration</w:t>
            </w:r>
            <w:r>
              <w:rPr>
                <w:noProof/>
                <w:webHidden/>
              </w:rPr>
              <w:tab/>
            </w:r>
            <w:r>
              <w:rPr>
                <w:noProof/>
                <w:webHidden/>
              </w:rPr>
              <w:fldChar w:fldCharType="begin"/>
            </w:r>
            <w:r>
              <w:rPr>
                <w:noProof/>
                <w:webHidden/>
              </w:rPr>
              <w:instrText xml:space="preserve"> PAGEREF _Toc224031155 \h </w:instrText>
            </w:r>
            <w:r>
              <w:rPr>
                <w:noProof/>
                <w:webHidden/>
              </w:rPr>
            </w:r>
            <w:r>
              <w:rPr>
                <w:noProof/>
                <w:webHidden/>
              </w:rPr>
              <w:fldChar w:fldCharType="separate"/>
            </w:r>
            <w:r>
              <w:rPr>
                <w:noProof/>
                <w:webHidden/>
              </w:rPr>
              <w:t>33</w:t>
            </w:r>
            <w:r>
              <w:rPr>
                <w:noProof/>
                <w:webHidden/>
              </w:rPr>
              <w:fldChar w:fldCharType="end"/>
            </w:r>
          </w:hyperlink>
        </w:p>
        <w:p w14:paraId="488695E5" w14:textId="456A42CB" w:rsidR="00F34611" w:rsidRDefault="00F34611">
          <w:pPr>
            <w:pStyle w:val="TOC2"/>
            <w:tabs>
              <w:tab w:val="right" w:leader="dot" w:pos="9350"/>
            </w:tabs>
            <w:rPr>
              <w:rFonts w:asciiTheme="minorHAnsi" w:eastAsiaTheme="minorEastAsia" w:hAnsiTheme="minorHAnsi"/>
              <w:noProof/>
              <w:sz w:val="24"/>
            </w:rPr>
          </w:pPr>
          <w:hyperlink w:anchor="_Toc224031156" w:history="1">
            <w:r w:rsidRPr="004F7C2C">
              <w:rPr>
                <w:rStyle w:val="Hyperlink"/>
                <w:noProof/>
              </w:rPr>
              <w:t>AI Framework and Runtime</w:t>
            </w:r>
            <w:r>
              <w:rPr>
                <w:noProof/>
                <w:webHidden/>
              </w:rPr>
              <w:tab/>
            </w:r>
            <w:r>
              <w:rPr>
                <w:noProof/>
                <w:webHidden/>
              </w:rPr>
              <w:fldChar w:fldCharType="begin"/>
            </w:r>
            <w:r>
              <w:rPr>
                <w:noProof/>
                <w:webHidden/>
              </w:rPr>
              <w:instrText xml:space="preserve"> PAGEREF _Toc224031156 \h </w:instrText>
            </w:r>
            <w:r>
              <w:rPr>
                <w:noProof/>
                <w:webHidden/>
              </w:rPr>
            </w:r>
            <w:r>
              <w:rPr>
                <w:noProof/>
                <w:webHidden/>
              </w:rPr>
              <w:fldChar w:fldCharType="separate"/>
            </w:r>
            <w:r>
              <w:rPr>
                <w:noProof/>
                <w:webHidden/>
              </w:rPr>
              <w:t>33</w:t>
            </w:r>
            <w:r>
              <w:rPr>
                <w:noProof/>
                <w:webHidden/>
              </w:rPr>
              <w:fldChar w:fldCharType="end"/>
            </w:r>
          </w:hyperlink>
        </w:p>
        <w:p w14:paraId="6E313FAA" w14:textId="14C5EBBF" w:rsidR="00F34611" w:rsidRDefault="00F34611">
          <w:pPr>
            <w:pStyle w:val="TOC2"/>
            <w:tabs>
              <w:tab w:val="right" w:leader="dot" w:pos="9350"/>
            </w:tabs>
            <w:rPr>
              <w:rFonts w:asciiTheme="minorHAnsi" w:eastAsiaTheme="minorEastAsia" w:hAnsiTheme="minorHAnsi"/>
              <w:noProof/>
              <w:sz w:val="24"/>
            </w:rPr>
          </w:pPr>
          <w:hyperlink w:anchor="_Toc224031157" w:history="1">
            <w:r w:rsidRPr="004F7C2C">
              <w:rPr>
                <w:rStyle w:val="Hyperlink"/>
                <w:noProof/>
              </w:rPr>
              <w:t>Foundation Models and Training Data</w:t>
            </w:r>
            <w:r>
              <w:rPr>
                <w:noProof/>
                <w:webHidden/>
              </w:rPr>
              <w:tab/>
            </w:r>
            <w:r>
              <w:rPr>
                <w:noProof/>
                <w:webHidden/>
              </w:rPr>
              <w:fldChar w:fldCharType="begin"/>
            </w:r>
            <w:r>
              <w:rPr>
                <w:noProof/>
                <w:webHidden/>
              </w:rPr>
              <w:instrText xml:space="preserve"> PAGEREF _Toc224031157 \h </w:instrText>
            </w:r>
            <w:r>
              <w:rPr>
                <w:noProof/>
                <w:webHidden/>
              </w:rPr>
            </w:r>
            <w:r>
              <w:rPr>
                <w:noProof/>
                <w:webHidden/>
              </w:rPr>
              <w:fldChar w:fldCharType="separate"/>
            </w:r>
            <w:r>
              <w:rPr>
                <w:noProof/>
                <w:webHidden/>
              </w:rPr>
              <w:t>34</w:t>
            </w:r>
            <w:r>
              <w:rPr>
                <w:noProof/>
                <w:webHidden/>
              </w:rPr>
              <w:fldChar w:fldCharType="end"/>
            </w:r>
          </w:hyperlink>
        </w:p>
        <w:p w14:paraId="726455EA" w14:textId="62716CB7" w:rsidR="00F34611" w:rsidRDefault="00F34611">
          <w:pPr>
            <w:pStyle w:val="TOC2"/>
            <w:tabs>
              <w:tab w:val="right" w:leader="dot" w:pos="9350"/>
            </w:tabs>
            <w:rPr>
              <w:rFonts w:asciiTheme="minorHAnsi" w:eastAsiaTheme="minorEastAsia" w:hAnsiTheme="minorHAnsi"/>
              <w:noProof/>
              <w:sz w:val="24"/>
            </w:rPr>
          </w:pPr>
          <w:hyperlink w:anchor="_Toc224031158" w:history="1">
            <w:r w:rsidRPr="004F7C2C">
              <w:rPr>
                <w:rStyle w:val="Hyperlink"/>
                <w:noProof/>
              </w:rPr>
              <w:t>MLOps and Pipeline Infrastructure</w:t>
            </w:r>
            <w:r>
              <w:rPr>
                <w:noProof/>
                <w:webHidden/>
              </w:rPr>
              <w:tab/>
            </w:r>
            <w:r>
              <w:rPr>
                <w:noProof/>
                <w:webHidden/>
              </w:rPr>
              <w:fldChar w:fldCharType="begin"/>
            </w:r>
            <w:r>
              <w:rPr>
                <w:noProof/>
                <w:webHidden/>
              </w:rPr>
              <w:instrText xml:space="preserve"> PAGEREF _Toc224031158 \h </w:instrText>
            </w:r>
            <w:r>
              <w:rPr>
                <w:noProof/>
                <w:webHidden/>
              </w:rPr>
            </w:r>
            <w:r>
              <w:rPr>
                <w:noProof/>
                <w:webHidden/>
              </w:rPr>
              <w:fldChar w:fldCharType="separate"/>
            </w:r>
            <w:r>
              <w:rPr>
                <w:noProof/>
                <w:webHidden/>
              </w:rPr>
              <w:t>35</w:t>
            </w:r>
            <w:r>
              <w:rPr>
                <w:noProof/>
                <w:webHidden/>
              </w:rPr>
              <w:fldChar w:fldCharType="end"/>
            </w:r>
          </w:hyperlink>
        </w:p>
        <w:p w14:paraId="0E40E746" w14:textId="1432388D" w:rsidR="00F34611" w:rsidRDefault="00F34611">
          <w:pPr>
            <w:pStyle w:val="TOC2"/>
            <w:tabs>
              <w:tab w:val="right" w:leader="dot" w:pos="9350"/>
            </w:tabs>
            <w:rPr>
              <w:rFonts w:asciiTheme="minorHAnsi" w:eastAsiaTheme="minorEastAsia" w:hAnsiTheme="minorHAnsi"/>
              <w:noProof/>
              <w:sz w:val="24"/>
            </w:rPr>
          </w:pPr>
          <w:hyperlink w:anchor="_Toc224031159" w:history="1">
            <w:r w:rsidRPr="004F7C2C">
              <w:rPr>
                <w:rStyle w:val="Hyperlink"/>
                <w:noProof/>
              </w:rPr>
              <w:t>Observability, Logging, and Audit</w:t>
            </w:r>
            <w:r>
              <w:rPr>
                <w:noProof/>
                <w:webHidden/>
              </w:rPr>
              <w:tab/>
            </w:r>
            <w:r>
              <w:rPr>
                <w:noProof/>
                <w:webHidden/>
              </w:rPr>
              <w:fldChar w:fldCharType="begin"/>
            </w:r>
            <w:r>
              <w:rPr>
                <w:noProof/>
                <w:webHidden/>
              </w:rPr>
              <w:instrText xml:space="preserve"> PAGEREF _Toc224031159 \h </w:instrText>
            </w:r>
            <w:r>
              <w:rPr>
                <w:noProof/>
                <w:webHidden/>
              </w:rPr>
            </w:r>
            <w:r>
              <w:rPr>
                <w:noProof/>
                <w:webHidden/>
              </w:rPr>
              <w:fldChar w:fldCharType="separate"/>
            </w:r>
            <w:r>
              <w:rPr>
                <w:noProof/>
                <w:webHidden/>
              </w:rPr>
              <w:t>36</w:t>
            </w:r>
            <w:r>
              <w:rPr>
                <w:noProof/>
                <w:webHidden/>
              </w:rPr>
              <w:fldChar w:fldCharType="end"/>
            </w:r>
          </w:hyperlink>
        </w:p>
        <w:p w14:paraId="6AF5263E" w14:textId="34F166B5" w:rsidR="00F34611" w:rsidRDefault="00F34611">
          <w:pPr>
            <w:pStyle w:val="TOC2"/>
            <w:tabs>
              <w:tab w:val="right" w:leader="dot" w:pos="9350"/>
            </w:tabs>
            <w:rPr>
              <w:rFonts w:asciiTheme="minorHAnsi" w:eastAsiaTheme="minorEastAsia" w:hAnsiTheme="minorHAnsi"/>
              <w:noProof/>
              <w:sz w:val="24"/>
            </w:rPr>
          </w:pPr>
          <w:hyperlink w:anchor="_Toc224031160" w:history="1">
            <w:r w:rsidRPr="004F7C2C">
              <w:rPr>
                <w:rStyle w:val="Hyperlink"/>
                <w:noProof/>
              </w:rPr>
              <w:t>Identity, Access Management, and Zero Trust</w:t>
            </w:r>
            <w:r>
              <w:rPr>
                <w:noProof/>
                <w:webHidden/>
              </w:rPr>
              <w:tab/>
            </w:r>
            <w:r>
              <w:rPr>
                <w:noProof/>
                <w:webHidden/>
              </w:rPr>
              <w:fldChar w:fldCharType="begin"/>
            </w:r>
            <w:r>
              <w:rPr>
                <w:noProof/>
                <w:webHidden/>
              </w:rPr>
              <w:instrText xml:space="preserve"> PAGEREF _Toc224031160 \h </w:instrText>
            </w:r>
            <w:r>
              <w:rPr>
                <w:noProof/>
                <w:webHidden/>
              </w:rPr>
            </w:r>
            <w:r>
              <w:rPr>
                <w:noProof/>
                <w:webHidden/>
              </w:rPr>
              <w:fldChar w:fldCharType="separate"/>
            </w:r>
            <w:r>
              <w:rPr>
                <w:noProof/>
                <w:webHidden/>
              </w:rPr>
              <w:t>36</w:t>
            </w:r>
            <w:r>
              <w:rPr>
                <w:noProof/>
                <w:webHidden/>
              </w:rPr>
              <w:fldChar w:fldCharType="end"/>
            </w:r>
          </w:hyperlink>
        </w:p>
        <w:p w14:paraId="59C9131B" w14:textId="47FDEBDA" w:rsidR="00F34611" w:rsidRDefault="00F34611">
          <w:pPr>
            <w:pStyle w:val="TOC2"/>
            <w:tabs>
              <w:tab w:val="right" w:leader="dot" w:pos="9350"/>
            </w:tabs>
            <w:rPr>
              <w:rFonts w:asciiTheme="minorHAnsi" w:eastAsiaTheme="minorEastAsia" w:hAnsiTheme="minorHAnsi"/>
              <w:noProof/>
              <w:sz w:val="24"/>
            </w:rPr>
          </w:pPr>
          <w:hyperlink w:anchor="_Toc224031161" w:history="1">
            <w:r w:rsidRPr="004F7C2C">
              <w:rPr>
                <w:rStyle w:val="Hyperlink"/>
                <w:noProof/>
              </w:rPr>
              <w:t>Data Governance and Encryption</w:t>
            </w:r>
            <w:r>
              <w:rPr>
                <w:noProof/>
                <w:webHidden/>
              </w:rPr>
              <w:tab/>
            </w:r>
            <w:r>
              <w:rPr>
                <w:noProof/>
                <w:webHidden/>
              </w:rPr>
              <w:fldChar w:fldCharType="begin"/>
            </w:r>
            <w:r>
              <w:rPr>
                <w:noProof/>
                <w:webHidden/>
              </w:rPr>
              <w:instrText xml:space="preserve"> PAGEREF _Toc224031161 \h </w:instrText>
            </w:r>
            <w:r>
              <w:rPr>
                <w:noProof/>
                <w:webHidden/>
              </w:rPr>
            </w:r>
            <w:r>
              <w:rPr>
                <w:noProof/>
                <w:webHidden/>
              </w:rPr>
              <w:fldChar w:fldCharType="separate"/>
            </w:r>
            <w:r>
              <w:rPr>
                <w:noProof/>
                <w:webHidden/>
              </w:rPr>
              <w:t>37</w:t>
            </w:r>
            <w:r>
              <w:rPr>
                <w:noProof/>
                <w:webHidden/>
              </w:rPr>
              <w:fldChar w:fldCharType="end"/>
            </w:r>
          </w:hyperlink>
        </w:p>
        <w:p w14:paraId="11EED2F2" w14:textId="0F3D52EB" w:rsidR="00F34611" w:rsidRDefault="00F34611">
          <w:pPr>
            <w:pStyle w:val="TOC2"/>
            <w:tabs>
              <w:tab w:val="right" w:leader="dot" w:pos="9350"/>
            </w:tabs>
            <w:rPr>
              <w:rFonts w:asciiTheme="minorHAnsi" w:eastAsiaTheme="minorEastAsia" w:hAnsiTheme="minorHAnsi"/>
              <w:noProof/>
              <w:sz w:val="24"/>
            </w:rPr>
          </w:pPr>
          <w:hyperlink w:anchor="_Toc224031162" w:history="1">
            <w:r w:rsidRPr="004F7C2C">
              <w:rPr>
                <w:rStyle w:val="Hyperlink"/>
                <w:noProof/>
              </w:rPr>
              <w:t>AI-Specific Security Requirements</w:t>
            </w:r>
            <w:r>
              <w:rPr>
                <w:noProof/>
                <w:webHidden/>
              </w:rPr>
              <w:tab/>
            </w:r>
            <w:r>
              <w:rPr>
                <w:noProof/>
                <w:webHidden/>
              </w:rPr>
              <w:fldChar w:fldCharType="begin"/>
            </w:r>
            <w:r>
              <w:rPr>
                <w:noProof/>
                <w:webHidden/>
              </w:rPr>
              <w:instrText xml:space="preserve"> PAGEREF _Toc224031162 \h </w:instrText>
            </w:r>
            <w:r>
              <w:rPr>
                <w:noProof/>
                <w:webHidden/>
              </w:rPr>
            </w:r>
            <w:r>
              <w:rPr>
                <w:noProof/>
                <w:webHidden/>
              </w:rPr>
              <w:fldChar w:fldCharType="separate"/>
            </w:r>
            <w:r>
              <w:rPr>
                <w:noProof/>
                <w:webHidden/>
              </w:rPr>
              <w:t>38</w:t>
            </w:r>
            <w:r>
              <w:rPr>
                <w:noProof/>
                <w:webHidden/>
              </w:rPr>
              <w:fldChar w:fldCharType="end"/>
            </w:r>
          </w:hyperlink>
        </w:p>
        <w:p w14:paraId="121F431E" w14:textId="0300BA82" w:rsidR="00F34611" w:rsidRDefault="00F34611">
          <w:pPr>
            <w:pStyle w:val="TOC2"/>
            <w:tabs>
              <w:tab w:val="right" w:leader="dot" w:pos="9350"/>
            </w:tabs>
            <w:rPr>
              <w:rFonts w:asciiTheme="minorHAnsi" w:eastAsiaTheme="minorEastAsia" w:hAnsiTheme="minorHAnsi"/>
              <w:noProof/>
              <w:sz w:val="24"/>
            </w:rPr>
          </w:pPr>
          <w:hyperlink w:anchor="_Toc224031163" w:history="1">
            <w:r w:rsidRPr="004F7C2C">
              <w:rPr>
                <w:rStyle w:val="Hyperlink"/>
                <w:noProof/>
              </w:rPr>
              <w:t>The Software Stack: Four Tests for Every Layer</w:t>
            </w:r>
            <w:r>
              <w:rPr>
                <w:noProof/>
                <w:webHidden/>
              </w:rPr>
              <w:tab/>
            </w:r>
            <w:r>
              <w:rPr>
                <w:noProof/>
                <w:webHidden/>
              </w:rPr>
              <w:fldChar w:fldCharType="begin"/>
            </w:r>
            <w:r>
              <w:rPr>
                <w:noProof/>
                <w:webHidden/>
              </w:rPr>
              <w:instrText xml:space="preserve"> PAGEREF _Toc224031163 \h </w:instrText>
            </w:r>
            <w:r>
              <w:rPr>
                <w:noProof/>
                <w:webHidden/>
              </w:rPr>
            </w:r>
            <w:r>
              <w:rPr>
                <w:noProof/>
                <w:webHidden/>
              </w:rPr>
              <w:fldChar w:fldCharType="separate"/>
            </w:r>
            <w:r>
              <w:rPr>
                <w:noProof/>
                <w:webHidden/>
              </w:rPr>
              <w:t>38</w:t>
            </w:r>
            <w:r>
              <w:rPr>
                <w:noProof/>
                <w:webHidden/>
              </w:rPr>
              <w:fldChar w:fldCharType="end"/>
            </w:r>
          </w:hyperlink>
        </w:p>
        <w:p w14:paraId="545E8806" w14:textId="677F4BD7" w:rsidR="00F34611" w:rsidRDefault="00F34611">
          <w:pPr>
            <w:pStyle w:val="TOC1"/>
            <w:tabs>
              <w:tab w:val="right" w:leader="dot" w:pos="9350"/>
            </w:tabs>
            <w:rPr>
              <w:rFonts w:asciiTheme="minorHAnsi" w:eastAsiaTheme="minorEastAsia" w:hAnsiTheme="minorHAnsi"/>
              <w:noProof/>
              <w:sz w:val="24"/>
            </w:rPr>
          </w:pPr>
          <w:hyperlink w:anchor="_Toc224031164" w:history="1">
            <w:r w:rsidRPr="004F7C2C">
              <w:rPr>
                <w:rStyle w:val="Hyperlink"/>
                <w:noProof/>
              </w:rPr>
              <w:t>Chain-of-Custody Evidence Package</w:t>
            </w:r>
            <w:r>
              <w:rPr>
                <w:noProof/>
                <w:webHidden/>
              </w:rPr>
              <w:tab/>
            </w:r>
            <w:r>
              <w:rPr>
                <w:noProof/>
                <w:webHidden/>
              </w:rPr>
              <w:fldChar w:fldCharType="begin"/>
            </w:r>
            <w:r>
              <w:rPr>
                <w:noProof/>
                <w:webHidden/>
              </w:rPr>
              <w:instrText xml:space="preserve"> PAGEREF _Toc224031164 \h </w:instrText>
            </w:r>
            <w:r>
              <w:rPr>
                <w:noProof/>
                <w:webHidden/>
              </w:rPr>
            </w:r>
            <w:r>
              <w:rPr>
                <w:noProof/>
                <w:webHidden/>
              </w:rPr>
              <w:fldChar w:fldCharType="separate"/>
            </w:r>
            <w:r>
              <w:rPr>
                <w:noProof/>
                <w:webHidden/>
              </w:rPr>
              <w:t>40</w:t>
            </w:r>
            <w:r>
              <w:rPr>
                <w:noProof/>
                <w:webHidden/>
              </w:rPr>
              <w:fldChar w:fldCharType="end"/>
            </w:r>
          </w:hyperlink>
        </w:p>
        <w:p w14:paraId="49953BE0" w14:textId="5EBD3632" w:rsidR="00F34611" w:rsidRDefault="00F34611">
          <w:pPr>
            <w:pStyle w:val="TOC1"/>
            <w:tabs>
              <w:tab w:val="right" w:leader="dot" w:pos="9350"/>
            </w:tabs>
            <w:rPr>
              <w:rFonts w:asciiTheme="minorHAnsi" w:eastAsiaTheme="minorEastAsia" w:hAnsiTheme="minorHAnsi"/>
              <w:noProof/>
              <w:sz w:val="24"/>
            </w:rPr>
          </w:pPr>
          <w:hyperlink w:anchor="_Toc224031165" w:history="1">
            <w:r w:rsidRPr="004F7C2C">
              <w:rPr>
                <w:rStyle w:val="Hyperlink"/>
                <w:noProof/>
              </w:rPr>
              <w:t>Summary and Decision Framework</w:t>
            </w:r>
            <w:r>
              <w:rPr>
                <w:noProof/>
                <w:webHidden/>
              </w:rPr>
              <w:tab/>
            </w:r>
            <w:r>
              <w:rPr>
                <w:noProof/>
                <w:webHidden/>
              </w:rPr>
              <w:fldChar w:fldCharType="begin"/>
            </w:r>
            <w:r>
              <w:rPr>
                <w:noProof/>
                <w:webHidden/>
              </w:rPr>
              <w:instrText xml:space="preserve"> PAGEREF _Toc224031165 \h </w:instrText>
            </w:r>
            <w:r>
              <w:rPr>
                <w:noProof/>
                <w:webHidden/>
              </w:rPr>
            </w:r>
            <w:r>
              <w:rPr>
                <w:noProof/>
                <w:webHidden/>
              </w:rPr>
              <w:fldChar w:fldCharType="separate"/>
            </w:r>
            <w:r>
              <w:rPr>
                <w:noProof/>
                <w:webHidden/>
              </w:rPr>
              <w:t>42</w:t>
            </w:r>
            <w:r>
              <w:rPr>
                <w:noProof/>
                <w:webHidden/>
              </w:rPr>
              <w:fldChar w:fldCharType="end"/>
            </w:r>
          </w:hyperlink>
        </w:p>
        <w:p w14:paraId="7D26D737" w14:textId="551C2874" w:rsidR="00F34611" w:rsidRDefault="00F34611">
          <w:pPr>
            <w:pStyle w:val="TOC2"/>
            <w:tabs>
              <w:tab w:val="right" w:leader="dot" w:pos="9350"/>
            </w:tabs>
            <w:rPr>
              <w:rFonts w:asciiTheme="minorHAnsi" w:eastAsiaTheme="minorEastAsia" w:hAnsiTheme="minorHAnsi"/>
              <w:noProof/>
              <w:sz w:val="24"/>
            </w:rPr>
          </w:pPr>
          <w:hyperlink w:anchor="_Toc224031166" w:history="1">
            <w:r w:rsidRPr="004F7C2C">
              <w:rPr>
                <w:rStyle w:val="Hyperlink"/>
                <w:noProof/>
              </w:rPr>
              <w:t>What we have covered</w:t>
            </w:r>
            <w:r>
              <w:rPr>
                <w:noProof/>
                <w:webHidden/>
              </w:rPr>
              <w:tab/>
            </w:r>
            <w:r>
              <w:rPr>
                <w:noProof/>
                <w:webHidden/>
              </w:rPr>
              <w:fldChar w:fldCharType="begin"/>
            </w:r>
            <w:r>
              <w:rPr>
                <w:noProof/>
                <w:webHidden/>
              </w:rPr>
              <w:instrText xml:space="preserve"> PAGEREF _Toc224031166 \h </w:instrText>
            </w:r>
            <w:r>
              <w:rPr>
                <w:noProof/>
                <w:webHidden/>
              </w:rPr>
            </w:r>
            <w:r>
              <w:rPr>
                <w:noProof/>
                <w:webHidden/>
              </w:rPr>
              <w:fldChar w:fldCharType="separate"/>
            </w:r>
            <w:r>
              <w:rPr>
                <w:noProof/>
                <w:webHidden/>
              </w:rPr>
              <w:t>42</w:t>
            </w:r>
            <w:r>
              <w:rPr>
                <w:noProof/>
                <w:webHidden/>
              </w:rPr>
              <w:fldChar w:fldCharType="end"/>
            </w:r>
          </w:hyperlink>
        </w:p>
        <w:p w14:paraId="561B46D3" w14:textId="6AA6B6E8" w:rsidR="00F34611" w:rsidRDefault="00F34611">
          <w:pPr>
            <w:pStyle w:val="TOC2"/>
            <w:tabs>
              <w:tab w:val="right" w:leader="dot" w:pos="9350"/>
            </w:tabs>
            <w:rPr>
              <w:rFonts w:asciiTheme="minorHAnsi" w:eastAsiaTheme="minorEastAsia" w:hAnsiTheme="minorHAnsi"/>
              <w:noProof/>
              <w:sz w:val="24"/>
            </w:rPr>
          </w:pPr>
          <w:hyperlink w:anchor="_Toc224031167" w:history="1">
            <w:r w:rsidRPr="004F7C2C">
              <w:rPr>
                <w:rStyle w:val="Hyperlink"/>
                <w:noProof/>
              </w:rPr>
              <w:t>Where Sovereignty becomes Actionable</w:t>
            </w:r>
            <w:r>
              <w:rPr>
                <w:noProof/>
                <w:webHidden/>
              </w:rPr>
              <w:tab/>
            </w:r>
            <w:r>
              <w:rPr>
                <w:noProof/>
                <w:webHidden/>
              </w:rPr>
              <w:fldChar w:fldCharType="begin"/>
            </w:r>
            <w:r>
              <w:rPr>
                <w:noProof/>
                <w:webHidden/>
              </w:rPr>
              <w:instrText xml:space="preserve"> PAGEREF _Toc224031167 \h </w:instrText>
            </w:r>
            <w:r>
              <w:rPr>
                <w:noProof/>
                <w:webHidden/>
              </w:rPr>
            </w:r>
            <w:r>
              <w:rPr>
                <w:noProof/>
                <w:webHidden/>
              </w:rPr>
              <w:fldChar w:fldCharType="separate"/>
            </w:r>
            <w:r>
              <w:rPr>
                <w:noProof/>
                <w:webHidden/>
              </w:rPr>
              <w:t>42</w:t>
            </w:r>
            <w:r>
              <w:rPr>
                <w:noProof/>
                <w:webHidden/>
              </w:rPr>
              <w:fldChar w:fldCharType="end"/>
            </w:r>
          </w:hyperlink>
        </w:p>
        <w:p w14:paraId="6F78F194" w14:textId="2DCBE11C" w:rsidR="00F34611" w:rsidRDefault="00F34611">
          <w:pPr>
            <w:pStyle w:val="TOC2"/>
            <w:tabs>
              <w:tab w:val="right" w:leader="dot" w:pos="9350"/>
            </w:tabs>
            <w:rPr>
              <w:rFonts w:asciiTheme="minorHAnsi" w:eastAsiaTheme="minorEastAsia" w:hAnsiTheme="minorHAnsi"/>
              <w:noProof/>
              <w:sz w:val="24"/>
            </w:rPr>
          </w:pPr>
          <w:hyperlink w:anchor="_Toc224031168" w:history="1">
            <w:r w:rsidRPr="004F7C2C">
              <w:rPr>
                <w:rStyle w:val="Hyperlink"/>
                <w:noProof/>
              </w:rPr>
              <w:t>Sovereign AI Decision Checklist</w:t>
            </w:r>
            <w:r>
              <w:rPr>
                <w:noProof/>
                <w:webHidden/>
              </w:rPr>
              <w:tab/>
            </w:r>
            <w:r>
              <w:rPr>
                <w:noProof/>
                <w:webHidden/>
              </w:rPr>
              <w:fldChar w:fldCharType="begin"/>
            </w:r>
            <w:r>
              <w:rPr>
                <w:noProof/>
                <w:webHidden/>
              </w:rPr>
              <w:instrText xml:space="preserve"> PAGEREF _Toc224031168 \h </w:instrText>
            </w:r>
            <w:r>
              <w:rPr>
                <w:noProof/>
                <w:webHidden/>
              </w:rPr>
            </w:r>
            <w:r>
              <w:rPr>
                <w:noProof/>
                <w:webHidden/>
              </w:rPr>
              <w:fldChar w:fldCharType="separate"/>
            </w:r>
            <w:r>
              <w:rPr>
                <w:noProof/>
                <w:webHidden/>
              </w:rPr>
              <w:t>43</w:t>
            </w:r>
            <w:r>
              <w:rPr>
                <w:noProof/>
                <w:webHidden/>
              </w:rPr>
              <w:fldChar w:fldCharType="end"/>
            </w:r>
          </w:hyperlink>
        </w:p>
        <w:p w14:paraId="0DD8AE4F" w14:textId="4D40976A" w:rsidR="00F34611" w:rsidRDefault="00F34611">
          <w:pPr>
            <w:pStyle w:val="TOC3"/>
            <w:tabs>
              <w:tab w:val="right" w:leader="dot" w:pos="9350"/>
            </w:tabs>
            <w:rPr>
              <w:rFonts w:asciiTheme="minorHAnsi" w:eastAsiaTheme="minorEastAsia" w:hAnsiTheme="minorHAnsi"/>
              <w:noProof/>
              <w:sz w:val="24"/>
            </w:rPr>
          </w:pPr>
          <w:hyperlink w:anchor="_Toc224031169" w:history="1">
            <w:r w:rsidRPr="004F7C2C">
              <w:rPr>
                <w:rStyle w:val="Hyperlink"/>
                <w:noProof/>
              </w:rPr>
              <w:t>Legal Foundation</w:t>
            </w:r>
            <w:r>
              <w:rPr>
                <w:noProof/>
                <w:webHidden/>
              </w:rPr>
              <w:tab/>
            </w:r>
            <w:r>
              <w:rPr>
                <w:noProof/>
                <w:webHidden/>
              </w:rPr>
              <w:fldChar w:fldCharType="begin"/>
            </w:r>
            <w:r>
              <w:rPr>
                <w:noProof/>
                <w:webHidden/>
              </w:rPr>
              <w:instrText xml:space="preserve"> PAGEREF _Toc224031169 \h </w:instrText>
            </w:r>
            <w:r>
              <w:rPr>
                <w:noProof/>
                <w:webHidden/>
              </w:rPr>
            </w:r>
            <w:r>
              <w:rPr>
                <w:noProof/>
                <w:webHidden/>
              </w:rPr>
              <w:fldChar w:fldCharType="separate"/>
            </w:r>
            <w:r>
              <w:rPr>
                <w:noProof/>
                <w:webHidden/>
              </w:rPr>
              <w:t>43</w:t>
            </w:r>
            <w:r>
              <w:rPr>
                <w:noProof/>
                <w:webHidden/>
              </w:rPr>
              <w:fldChar w:fldCharType="end"/>
            </w:r>
          </w:hyperlink>
        </w:p>
        <w:p w14:paraId="4CA3C3C5" w14:textId="381CF48C" w:rsidR="00F34611" w:rsidRDefault="00F34611">
          <w:pPr>
            <w:pStyle w:val="TOC3"/>
            <w:tabs>
              <w:tab w:val="right" w:leader="dot" w:pos="9350"/>
            </w:tabs>
            <w:rPr>
              <w:rFonts w:asciiTheme="minorHAnsi" w:eastAsiaTheme="minorEastAsia" w:hAnsiTheme="minorHAnsi"/>
              <w:noProof/>
              <w:sz w:val="24"/>
            </w:rPr>
          </w:pPr>
          <w:hyperlink w:anchor="_Toc224031170" w:history="1">
            <w:r w:rsidRPr="004F7C2C">
              <w:rPr>
                <w:rStyle w:val="Hyperlink"/>
                <w:noProof/>
              </w:rPr>
              <w:t>Supply Chain</w:t>
            </w:r>
            <w:r>
              <w:rPr>
                <w:noProof/>
                <w:webHidden/>
              </w:rPr>
              <w:tab/>
            </w:r>
            <w:r>
              <w:rPr>
                <w:noProof/>
                <w:webHidden/>
              </w:rPr>
              <w:fldChar w:fldCharType="begin"/>
            </w:r>
            <w:r>
              <w:rPr>
                <w:noProof/>
                <w:webHidden/>
              </w:rPr>
              <w:instrText xml:space="preserve"> PAGEREF _Toc224031170 \h </w:instrText>
            </w:r>
            <w:r>
              <w:rPr>
                <w:noProof/>
                <w:webHidden/>
              </w:rPr>
            </w:r>
            <w:r>
              <w:rPr>
                <w:noProof/>
                <w:webHidden/>
              </w:rPr>
              <w:fldChar w:fldCharType="separate"/>
            </w:r>
            <w:r>
              <w:rPr>
                <w:noProof/>
                <w:webHidden/>
              </w:rPr>
              <w:t>43</w:t>
            </w:r>
            <w:r>
              <w:rPr>
                <w:noProof/>
                <w:webHidden/>
              </w:rPr>
              <w:fldChar w:fldCharType="end"/>
            </w:r>
          </w:hyperlink>
        </w:p>
        <w:p w14:paraId="419A49D0" w14:textId="75CC4814" w:rsidR="00F34611" w:rsidRDefault="00F34611">
          <w:pPr>
            <w:pStyle w:val="TOC3"/>
            <w:tabs>
              <w:tab w:val="right" w:leader="dot" w:pos="9350"/>
            </w:tabs>
            <w:rPr>
              <w:rFonts w:asciiTheme="minorHAnsi" w:eastAsiaTheme="minorEastAsia" w:hAnsiTheme="minorHAnsi"/>
              <w:noProof/>
              <w:sz w:val="24"/>
            </w:rPr>
          </w:pPr>
          <w:hyperlink w:anchor="_Toc224031171" w:history="1">
            <w:r w:rsidRPr="004F7C2C">
              <w:rPr>
                <w:rStyle w:val="Hyperlink"/>
                <w:noProof/>
              </w:rPr>
              <w:t>Infrastructure</w:t>
            </w:r>
            <w:r>
              <w:rPr>
                <w:noProof/>
                <w:webHidden/>
              </w:rPr>
              <w:tab/>
            </w:r>
            <w:r>
              <w:rPr>
                <w:noProof/>
                <w:webHidden/>
              </w:rPr>
              <w:fldChar w:fldCharType="begin"/>
            </w:r>
            <w:r>
              <w:rPr>
                <w:noProof/>
                <w:webHidden/>
              </w:rPr>
              <w:instrText xml:space="preserve"> PAGEREF _Toc224031171 \h </w:instrText>
            </w:r>
            <w:r>
              <w:rPr>
                <w:noProof/>
                <w:webHidden/>
              </w:rPr>
            </w:r>
            <w:r>
              <w:rPr>
                <w:noProof/>
                <w:webHidden/>
              </w:rPr>
              <w:fldChar w:fldCharType="separate"/>
            </w:r>
            <w:r>
              <w:rPr>
                <w:noProof/>
                <w:webHidden/>
              </w:rPr>
              <w:t>43</w:t>
            </w:r>
            <w:r>
              <w:rPr>
                <w:noProof/>
                <w:webHidden/>
              </w:rPr>
              <w:fldChar w:fldCharType="end"/>
            </w:r>
          </w:hyperlink>
        </w:p>
        <w:p w14:paraId="570E83F5" w14:textId="531EDD54" w:rsidR="00F34611" w:rsidRDefault="00F34611">
          <w:pPr>
            <w:pStyle w:val="TOC3"/>
            <w:tabs>
              <w:tab w:val="right" w:leader="dot" w:pos="9350"/>
            </w:tabs>
            <w:rPr>
              <w:rFonts w:asciiTheme="minorHAnsi" w:eastAsiaTheme="minorEastAsia" w:hAnsiTheme="minorHAnsi"/>
              <w:noProof/>
              <w:sz w:val="24"/>
            </w:rPr>
          </w:pPr>
          <w:hyperlink w:anchor="_Toc224031172" w:history="1">
            <w:r w:rsidRPr="004F7C2C">
              <w:rPr>
                <w:rStyle w:val="Hyperlink"/>
                <w:noProof/>
              </w:rPr>
              <w:t>Software Stack</w:t>
            </w:r>
            <w:r>
              <w:rPr>
                <w:noProof/>
                <w:webHidden/>
              </w:rPr>
              <w:tab/>
            </w:r>
            <w:r>
              <w:rPr>
                <w:noProof/>
                <w:webHidden/>
              </w:rPr>
              <w:fldChar w:fldCharType="begin"/>
            </w:r>
            <w:r>
              <w:rPr>
                <w:noProof/>
                <w:webHidden/>
              </w:rPr>
              <w:instrText xml:space="preserve"> PAGEREF _Toc224031172 \h </w:instrText>
            </w:r>
            <w:r>
              <w:rPr>
                <w:noProof/>
                <w:webHidden/>
              </w:rPr>
            </w:r>
            <w:r>
              <w:rPr>
                <w:noProof/>
                <w:webHidden/>
              </w:rPr>
              <w:fldChar w:fldCharType="separate"/>
            </w:r>
            <w:r>
              <w:rPr>
                <w:noProof/>
                <w:webHidden/>
              </w:rPr>
              <w:t>44</w:t>
            </w:r>
            <w:r>
              <w:rPr>
                <w:noProof/>
                <w:webHidden/>
              </w:rPr>
              <w:fldChar w:fldCharType="end"/>
            </w:r>
          </w:hyperlink>
        </w:p>
        <w:p w14:paraId="62E92E36" w14:textId="28BE90D8" w:rsidR="00F34611" w:rsidRDefault="00F34611">
          <w:pPr>
            <w:pStyle w:val="TOC2"/>
            <w:tabs>
              <w:tab w:val="right" w:leader="dot" w:pos="9350"/>
            </w:tabs>
            <w:rPr>
              <w:rFonts w:asciiTheme="minorHAnsi" w:eastAsiaTheme="minorEastAsia" w:hAnsiTheme="minorHAnsi"/>
              <w:noProof/>
              <w:sz w:val="24"/>
            </w:rPr>
          </w:pPr>
          <w:hyperlink w:anchor="_Toc224031173" w:history="1">
            <w:r w:rsidRPr="004F7C2C">
              <w:rPr>
                <w:rStyle w:val="Hyperlink"/>
                <w:noProof/>
              </w:rPr>
              <w:t>The Business Case for Sovereign AI Investment</w:t>
            </w:r>
            <w:r>
              <w:rPr>
                <w:noProof/>
                <w:webHidden/>
              </w:rPr>
              <w:tab/>
            </w:r>
            <w:r>
              <w:rPr>
                <w:noProof/>
                <w:webHidden/>
              </w:rPr>
              <w:fldChar w:fldCharType="begin"/>
            </w:r>
            <w:r>
              <w:rPr>
                <w:noProof/>
                <w:webHidden/>
              </w:rPr>
              <w:instrText xml:space="preserve"> PAGEREF _Toc224031173 \h </w:instrText>
            </w:r>
            <w:r>
              <w:rPr>
                <w:noProof/>
                <w:webHidden/>
              </w:rPr>
            </w:r>
            <w:r>
              <w:rPr>
                <w:noProof/>
                <w:webHidden/>
              </w:rPr>
              <w:fldChar w:fldCharType="separate"/>
            </w:r>
            <w:r>
              <w:rPr>
                <w:noProof/>
                <w:webHidden/>
              </w:rPr>
              <w:t>44</w:t>
            </w:r>
            <w:r>
              <w:rPr>
                <w:noProof/>
                <w:webHidden/>
              </w:rPr>
              <w:fldChar w:fldCharType="end"/>
            </w:r>
          </w:hyperlink>
        </w:p>
        <w:p w14:paraId="269EB026" w14:textId="4E2CB73A" w:rsidR="00F34611" w:rsidRDefault="00F34611">
          <w:pPr>
            <w:pStyle w:val="TOC2"/>
            <w:tabs>
              <w:tab w:val="right" w:leader="dot" w:pos="9350"/>
            </w:tabs>
            <w:rPr>
              <w:rFonts w:asciiTheme="minorHAnsi" w:eastAsiaTheme="minorEastAsia" w:hAnsiTheme="minorHAnsi"/>
              <w:noProof/>
              <w:sz w:val="24"/>
            </w:rPr>
          </w:pPr>
          <w:hyperlink w:anchor="_Toc224031174" w:history="1">
            <w:r w:rsidRPr="004F7C2C">
              <w:rPr>
                <w:rStyle w:val="Hyperlink"/>
                <w:noProof/>
              </w:rPr>
              <w:t>Evaluating Sovereignty Investments</w:t>
            </w:r>
            <w:r>
              <w:rPr>
                <w:noProof/>
                <w:webHidden/>
              </w:rPr>
              <w:tab/>
            </w:r>
            <w:r>
              <w:rPr>
                <w:noProof/>
                <w:webHidden/>
              </w:rPr>
              <w:fldChar w:fldCharType="begin"/>
            </w:r>
            <w:r>
              <w:rPr>
                <w:noProof/>
                <w:webHidden/>
              </w:rPr>
              <w:instrText xml:space="preserve"> PAGEREF _Toc224031174 \h </w:instrText>
            </w:r>
            <w:r>
              <w:rPr>
                <w:noProof/>
                <w:webHidden/>
              </w:rPr>
            </w:r>
            <w:r>
              <w:rPr>
                <w:noProof/>
                <w:webHidden/>
              </w:rPr>
              <w:fldChar w:fldCharType="separate"/>
            </w:r>
            <w:r>
              <w:rPr>
                <w:noProof/>
                <w:webHidden/>
              </w:rPr>
              <w:t>44</w:t>
            </w:r>
            <w:r>
              <w:rPr>
                <w:noProof/>
                <w:webHidden/>
              </w:rPr>
              <w:fldChar w:fldCharType="end"/>
            </w:r>
          </w:hyperlink>
        </w:p>
        <w:p w14:paraId="30D8762D" w14:textId="0FE10266" w:rsidR="00F34611" w:rsidRDefault="00F34611">
          <w:pPr>
            <w:pStyle w:val="TOC1"/>
            <w:tabs>
              <w:tab w:val="right" w:leader="dot" w:pos="9350"/>
            </w:tabs>
            <w:rPr>
              <w:rFonts w:asciiTheme="minorHAnsi" w:eastAsiaTheme="minorEastAsia" w:hAnsiTheme="minorHAnsi"/>
              <w:noProof/>
              <w:sz w:val="24"/>
            </w:rPr>
          </w:pPr>
          <w:hyperlink w:anchor="_Toc224031175" w:history="1">
            <w:r w:rsidRPr="004F7C2C">
              <w:rPr>
                <w:rStyle w:val="Hyperlink"/>
                <w:noProof/>
              </w:rPr>
              <w:t>What Comes Next: Trusted AI</w:t>
            </w:r>
            <w:r>
              <w:rPr>
                <w:noProof/>
                <w:webHidden/>
              </w:rPr>
              <w:tab/>
            </w:r>
            <w:r>
              <w:rPr>
                <w:noProof/>
                <w:webHidden/>
              </w:rPr>
              <w:fldChar w:fldCharType="begin"/>
            </w:r>
            <w:r>
              <w:rPr>
                <w:noProof/>
                <w:webHidden/>
              </w:rPr>
              <w:instrText xml:space="preserve"> PAGEREF _Toc224031175 \h </w:instrText>
            </w:r>
            <w:r>
              <w:rPr>
                <w:noProof/>
                <w:webHidden/>
              </w:rPr>
            </w:r>
            <w:r>
              <w:rPr>
                <w:noProof/>
                <w:webHidden/>
              </w:rPr>
              <w:fldChar w:fldCharType="separate"/>
            </w:r>
            <w:r>
              <w:rPr>
                <w:noProof/>
                <w:webHidden/>
              </w:rPr>
              <w:t>46</w:t>
            </w:r>
            <w:r>
              <w:rPr>
                <w:noProof/>
                <w:webHidden/>
              </w:rPr>
              <w:fldChar w:fldCharType="end"/>
            </w:r>
          </w:hyperlink>
        </w:p>
        <w:p w14:paraId="7B3A640D" w14:textId="32B5501A" w:rsidR="00F34611" w:rsidRDefault="00F34611">
          <w:pPr>
            <w:pStyle w:val="TOC1"/>
            <w:tabs>
              <w:tab w:val="right" w:leader="dot" w:pos="9350"/>
            </w:tabs>
            <w:rPr>
              <w:rFonts w:asciiTheme="minorHAnsi" w:eastAsiaTheme="minorEastAsia" w:hAnsiTheme="minorHAnsi"/>
              <w:noProof/>
              <w:sz w:val="24"/>
            </w:rPr>
          </w:pPr>
          <w:hyperlink w:anchor="_Toc224031176" w:history="1">
            <w:r w:rsidRPr="004F7C2C">
              <w:rPr>
                <w:rStyle w:val="Hyperlink"/>
                <w:noProof/>
              </w:rPr>
              <w:t>Appendix: Key Standards and Frameworks Reference</w:t>
            </w:r>
            <w:r>
              <w:rPr>
                <w:noProof/>
                <w:webHidden/>
              </w:rPr>
              <w:tab/>
            </w:r>
            <w:r>
              <w:rPr>
                <w:noProof/>
                <w:webHidden/>
              </w:rPr>
              <w:fldChar w:fldCharType="begin"/>
            </w:r>
            <w:r>
              <w:rPr>
                <w:noProof/>
                <w:webHidden/>
              </w:rPr>
              <w:instrText xml:space="preserve"> PAGEREF _Toc224031176 \h </w:instrText>
            </w:r>
            <w:r>
              <w:rPr>
                <w:noProof/>
                <w:webHidden/>
              </w:rPr>
            </w:r>
            <w:r>
              <w:rPr>
                <w:noProof/>
                <w:webHidden/>
              </w:rPr>
              <w:fldChar w:fldCharType="separate"/>
            </w:r>
            <w:r>
              <w:rPr>
                <w:noProof/>
                <w:webHidden/>
              </w:rPr>
              <w:t>47</w:t>
            </w:r>
            <w:r>
              <w:rPr>
                <w:noProof/>
                <w:webHidden/>
              </w:rPr>
              <w:fldChar w:fldCharType="end"/>
            </w:r>
          </w:hyperlink>
        </w:p>
        <w:p w14:paraId="0A1D4069" w14:textId="469FEFF6" w:rsidR="00F34611" w:rsidRDefault="00F34611">
          <w:pPr>
            <w:pStyle w:val="TOC3"/>
            <w:tabs>
              <w:tab w:val="right" w:leader="dot" w:pos="9350"/>
            </w:tabs>
            <w:rPr>
              <w:rFonts w:asciiTheme="minorHAnsi" w:eastAsiaTheme="minorEastAsia" w:hAnsiTheme="minorHAnsi"/>
              <w:noProof/>
              <w:sz w:val="24"/>
            </w:rPr>
          </w:pPr>
          <w:hyperlink w:anchor="_Toc224031177" w:history="1">
            <w:r w:rsidRPr="004F7C2C">
              <w:rPr>
                <w:rStyle w:val="Hyperlink"/>
                <w:noProof/>
              </w:rPr>
              <w:t>Supply Chain Risk Management</w:t>
            </w:r>
            <w:r>
              <w:rPr>
                <w:noProof/>
                <w:webHidden/>
              </w:rPr>
              <w:tab/>
            </w:r>
            <w:r>
              <w:rPr>
                <w:noProof/>
                <w:webHidden/>
              </w:rPr>
              <w:fldChar w:fldCharType="begin"/>
            </w:r>
            <w:r>
              <w:rPr>
                <w:noProof/>
                <w:webHidden/>
              </w:rPr>
              <w:instrText xml:space="preserve"> PAGEREF _Toc224031177 \h </w:instrText>
            </w:r>
            <w:r>
              <w:rPr>
                <w:noProof/>
                <w:webHidden/>
              </w:rPr>
            </w:r>
            <w:r>
              <w:rPr>
                <w:noProof/>
                <w:webHidden/>
              </w:rPr>
              <w:fldChar w:fldCharType="separate"/>
            </w:r>
            <w:r>
              <w:rPr>
                <w:noProof/>
                <w:webHidden/>
              </w:rPr>
              <w:t>47</w:t>
            </w:r>
            <w:r>
              <w:rPr>
                <w:noProof/>
                <w:webHidden/>
              </w:rPr>
              <w:fldChar w:fldCharType="end"/>
            </w:r>
          </w:hyperlink>
        </w:p>
        <w:p w14:paraId="1F3CAF06" w14:textId="36A155ED" w:rsidR="00F34611" w:rsidRDefault="00F34611">
          <w:pPr>
            <w:pStyle w:val="TOC3"/>
            <w:tabs>
              <w:tab w:val="right" w:leader="dot" w:pos="9350"/>
            </w:tabs>
            <w:rPr>
              <w:rFonts w:asciiTheme="minorHAnsi" w:eastAsiaTheme="minorEastAsia" w:hAnsiTheme="minorHAnsi"/>
              <w:noProof/>
              <w:sz w:val="24"/>
            </w:rPr>
          </w:pPr>
          <w:hyperlink w:anchor="_Toc224031178" w:history="1">
            <w:r w:rsidRPr="004F7C2C">
              <w:rPr>
                <w:rStyle w:val="Hyperlink"/>
                <w:noProof/>
              </w:rPr>
              <w:t>Data Center and Cloud Security</w:t>
            </w:r>
            <w:r>
              <w:rPr>
                <w:noProof/>
                <w:webHidden/>
              </w:rPr>
              <w:tab/>
            </w:r>
            <w:r>
              <w:rPr>
                <w:noProof/>
                <w:webHidden/>
              </w:rPr>
              <w:fldChar w:fldCharType="begin"/>
            </w:r>
            <w:r>
              <w:rPr>
                <w:noProof/>
                <w:webHidden/>
              </w:rPr>
              <w:instrText xml:space="preserve"> PAGEREF _Toc224031178 \h </w:instrText>
            </w:r>
            <w:r>
              <w:rPr>
                <w:noProof/>
                <w:webHidden/>
              </w:rPr>
            </w:r>
            <w:r>
              <w:rPr>
                <w:noProof/>
                <w:webHidden/>
              </w:rPr>
              <w:fldChar w:fldCharType="separate"/>
            </w:r>
            <w:r>
              <w:rPr>
                <w:noProof/>
                <w:webHidden/>
              </w:rPr>
              <w:t>47</w:t>
            </w:r>
            <w:r>
              <w:rPr>
                <w:noProof/>
                <w:webHidden/>
              </w:rPr>
              <w:fldChar w:fldCharType="end"/>
            </w:r>
          </w:hyperlink>
        </w:p>
        <w:p w14:paraId="76133977" w14:textId="1245B9A0" w:rsidR="00F34611" w:rsidRDefault="00F34611">
          <w:pPr>
            <w:pStyle w:val="TOC3"/>
            <w:tabs>
              <w:tab w:val="right" w:leader="dot" w:pos="9350"/>
            </w:tabs>
            <w:rPr>
              <w:rFonts w:asciiTheme="minorHAnsi" w:eastAsiaTheme="minorEastAsia" w:hAnsiTheme="minorHAnsi"/>
              <w:noProof/>
              <w:sz w:val="24"/>
            </w:rPr>
          </w:pPr>
          <w:hyperlink w:anchor="_Toc224031179" w:history="1">
            <w:r w:rsidRPr="004F7C2C">
              <w:rPr>
                <w:rStyle w:val="Hyperlink"/>
                <w:noProof/>
              </w:rPr>
              <w:t>Cryptography</w:t>
            </w:r>
            <w:r>
              <w:rPr>
                <w:noProof/>
                <w:webHidden/>
              </w:rPr>
              <w:tab/>
            </w:r>
            <w:r>
              <w:rPr>
                <w:noProof/>
                <w:webHidden/>
              </w:rPr>
              <w:fldChar w:fldCharType="begin"/>
            </w:r>
            <w:r>
              <w:rPr>
                <w:noProof/>
                <w:webHidden/>
              </w:rPr>
              <w:instrText xml:space="preserve"> PAGEREF _Toc224031179 \h </w:instrText>
            </w:r>
            <w:r>
              <w:rPr>
                <w:noProof/>
                <w:webHidden/>
              </w:rPr>
            </w:r>
            <w:r>
              <w:rPr>
                <w:noProof/>
                <w:webHidden/>
              </w:rPr>
              <w:fldChar w:fldCharType="separate"/>
            </w:r>
            <w:r>
              <w:rPr>
                <w:noProof/>
                <w:webHidden/>
              </w:rPr>
              <w:t>47</w:t>
            </w:r>
            <w:r>
              <w:rPr>
                <w:noProof/>
                <w:webHidden/>
              </w:rPr>
              <w:fldChar w:fldCharType="end"/>
            </w:r>
          </w:hyperlink>
        </w:p>
        <w:p w14:paraId="5A908496" w14:textId="412D6E7D" w:rsidR="00F34611" w:rsidRDefault="00F34611">
          <w:pPr>
            <w:pStyle w:val="TOC3"/>
            <w:tabs>
              <w:tab w:val="right" w:leader="dot" w:pos="9350"/>
            </w:tabs>
            <w:rPr>
              <w:rFonts w:asciiTheme="minorHAnsi" w:eastAsiaTheme="minorEastAsia" w:hAnsiTheme="minorHAnsi"/>
              <w:noProof/>
              <w:sz w:val="24"/>
            </w:rPr>
          </w:pPr>
          <w:hyperlink w:anchor="_Toc224031180" w:history="1">
            <w:r w:rsidRPr="004F7C2C">
              <w:rPr>
                <w:rStyle w:val="Hyperlink"/>
                <w:noProof/>
              </w:rPr>
              <w:t>AI Governance</w:t>
            </w:r>
            <w:r>
              <w:rPr>
                <w:noProof/>
                <w:webHidden/>
              </w:rPr>
              <w:tab/>
            </w:r>
            <w:r>
              <w:rPr>
                <w:noProof/>
                <w:webHidden/>
              </w:rPr>
              <w:fldChar w:fldCharType="begin"/>
            </w:r>
            <w:r>
              <w:rPr>
                <w:noProof/>
                <w:webHidden/>
              </w:rPr>
              <w:instrText xml:space="preserve"> PAGEREF _Toc224031180 \h </w:instrText>
            </w:r>
            <w:r>
              <w:rPr>
                <w:noProof/>
                <w:webHidden/>
              </w:rPr>
            </w:r>
            <w:r>
              <w:rPr>
                <w:noProof/>
                <w:webHidden/>
              </w:rPr>
              <w:fldChar w:fldCharType="separate"/>
            </w:r>
            <w:r>
              <w:rPr>
                <w:noProof/>
                <w:webHidden/>
              </w:rPr>
              <w:t>47</w:t>
            </w:r>
            <w:r>
              <w:rPr>
                <w:noProof/>
                <w:webHidden/>
              </w:rPr>
              <w:fldChar w:fldCharType="end"/>
            </w:r>
          </w:hyperlink>
        </w:p>
        <w:p w14:paraId="753B6028" w14:textId="7085F14A" w:rsidR="00F34611" w:rsidRDefault="00F34611">
          <w:pPr>
            <w:pStyle w:val="TOC3"/>
            <w:tabs>
              <w:tab w:val="right" w:leader="dot" w:pos="9350"/>
            </w:tabs>
            <w:rPr>
              <w:rFonts w:asciiTheme="minorHAnsi" w:eastAsiaTheme="minorEastAsia" w:hAnsiTheme="minorHAnsi"/>
              <w:noProof/>
              <w:sz w:val="24"/>
            </w:rPr>
          </w:pPr>
          <w:hyperlink w:anchor="_Toc224031181" w:history="1">
            <w:r w:rsidRPr="004F7C2C">
              <w:rPr>
                <w:rStyle w:val="Hyperlink"/>
                <w:noProof/>
              </w:rPr>
              <w:t>Hardware Attestation</w:t>
            </w:r>
            <w:r>
              <w:rPr>
                <w:noProof/>
                <w:webHidden/>
              </w:rPr>
              <w:tab/>
            </w:r>
            <w:r>
              <w:rPr>
                <w:noProof/>
                <w:webHidden/>
              </w:rPr>
              <w:fldChar w:fldCharType="begin"/>
            </w:r>
            <w:r>
              <w:rPr>
                <w:noProof/>
                <w:webHidden/>
              </w:rPr>
              <w:instrText xml:space="preserve"> PAGEREF _Toc224031181 \h </w:instrText>
            </w:r>
            <w:r>
              <w:rPr>
                <w:noProof/>
                <w:webHidden/>
              </w:rPr>
            </w:r>
            <w:r>
              <w:rPr>
                <w:noProof/>
                <w:webHidden/>
              </w:rPr>
              <w:fldChar w:fldCharType="separate"/>
            </w:r>
            <w:r>
              <w:rPr>
                <w:noProof/>
                <w:webHidden/>
              </w:rPr>
              <w:t>47</w:t>
            </w:r>
            <w:r>
              <w:rPr>
                <w:noProof/>
                <w:webHidden/>
              </w:rPr>
              <w:fldChar w:fldCharType="end"/>
            </w:r>
          </w:hyperlink>
        </w:p>
        <w:p w14:paraId="2C3F6288" w14:textId="01E4CD6E" w:rsidR="00C00495" w:rsidRDefault="00C00495">
          <w:r>
            <w:rPr>
              <w:b/>
              <w:bCs/>
              <w:noProof/>
            </w:rPr>
            <w:fldChar w:fldCharType="end"/>
          </w:r>
        </w:p>
      </w:sdtContent>
    </w:sdt>
    <w:p w14:paraId="5C2B7958" w14:textId="77777777" w:rsidR="006124AA" w:rsidRDefault="006124AA">
      <w:pPr>
        <w:rPr>
          <w:rFonts w:eastAsiaTheme="majorEastAsia" w:cstheme="majorBidi"/>
          <w:color w:val="0F4761" w:themeColor="accent1" w:themeShade="BF"/>
          <w:sz w:val="36"/>
          <w:szCs w:val="40"/>
        </w:rPr>
      </w:pPr>
      <w:r>
        <w:br w:type="page"/>
      </w:r>
    </w:p>
    <w:p w14:paraId="787D6213" w14:textId="1DE1028C" w:rsidR="0042677F" w:rsidRDefault="00587CD0" w:rsidP="00DA59A1">
      <w:pPr>
        <w:pStyle w:val="Heading1"/>
      </w:pPr>
      <w:bookmarkStart w:id="1" w:name="_Toc224031102"/>
      <w:r>
        <w:lastRenderedPageBreak/>
        <w:t>Executive Summary</w:t>
      </w:r>
      <w:bookmarkEnd w:id="1"/>
    </w:p>
    <w:p w14:paraId="5321F518" w14:textId="37FD7F86" w:rsidR="00587CD0" w:rsidRDefault="00587CD0" w:rsidP="00587CD0">
      <w:pPr>
        <w:spacing w:before="80" w:after="80"/>
      </w:pPr>
      <w:r>
        <w:rPr>
          <w:color w:val="333333"/>
        </w:rPr>
        <w:t>Artificial Intelligence (AI) has fundamentally altered the risk landscape of modern digital infrastructure. Large Language Models trained on vast and often opaque datasets now sit at the core of widely deployed systems capable of generating, summarizing, and reasoning over sensitive, proprietary, or regulated data. The rise of agentic AI systems capable of operating autonomously without continuous human oversight further amplifies both opportunity and risk.</w:t>
      </w:r>
    </w:p>
    <w:p w14:paraId="05EACB99" w14:textId="54DD2A52" w:rsidR="00587CD0" w:rsidRDefault="00587CD0" w:rsidP="00587CD0">
      <w:pPr>
        <w:spacing w:before="80" w:after="80"/>
      </w:pPr>
      <w:r>
        <w:rPr>
          <w:color w:val="333333"/>
        </w:rPr>
        <w:t>This guide examines Sovereign AI from a nation-neutral perspective, treating it through the lens of supply chain security and chain-of-custody: from the minerals and manufacturing of silicon through procurement, systems integration, data centers, networks, cloud environments, and the full AI software stack.</w:t>
      </w:r>
    </w:p>
    <w:p w14:paraId="710EC2EA" w14:textId="77777777" w:rsidR="00A976AD" w:rsidRDefault="00A976AD" w:rsidP="00587CD0">
      <w:pPr>
        <w:spacing w:before="80" w:after="80"/>
      </w:pPr>
    </w:p>
    <w:tbl>
      <w:tblPr>
        <w:tblW w:w="9360" w:type="dxa"/>
        <w:tblCellMar>
          <w:top w:w="144" w:type="dxa"/>
          <w:left w:w="144" w:type="dxa"/>
          <w:bottom w:w="144" w:type="dxa"/>
          <w:right w:w="144" w:type="dxa"/>
        </w:tblCellMar>
        <w:tblLook w:val="04A0" w:firstRow="1" w:lastRow="0" w:firstColumn="1" w:lastColumn="0" w:noHBand="0" w:noVBand="1"/>
      </w:tblPr>
      <w:tblGrid>
        <w:gridCol w:w="9360"/>
      </w:tblGrid>
      <w:tr w:rsidR="00587CD0" w14:paraId="3075AFC6" w14:textId="77777777" w:rsidTr="00424247">
        <w:tc>
          <w:tcPr>
            <w:tcW w:w="9360" w:type="dxa"/>
            <w:shd w:val="clear" w:color="auto" w:fill="D6E8FB"/>
            <w:tcMar>
              <w:top w:w="120" w:type="dxa"/>
              <w:left w:w="240" w:type="dxa"/>
              <w:bottom w:w="120" w:type="dxa"/>
              <w:right w:w="240" w:type="dxa"/>
            </w:tcMar>
          </w:tcPr>
          <w:p w14:paraId="1B914E4D" w14:textId="77777777" w:rsidR="00587CD0" w:rsidRPr="00424247" w:rsidRDefault="00587CD0" w:rsidP="00424247">
            <w:pPr>
              <w:ind w:left="120"/>
            </w:pPr>
            <w:r w:rsidRPr="00424247">
              <w:rPr>
                <w:color w:val="1A4C8E"/>
                <w:sz w:val="20"/>
                <w:szCs w:val="22"/>
              </w:rPr>
              <w:t>In short, hardware-level full sovereignty is currently impossible. No nation can fully control the semiconductor supply chain today. The practical objective is demonstrable, auditable, and legally defensible sovereignty at every layer you can control.</w:t>
            </w:r>
          </w:p>
        </w:tc>
      </w:tr>
    </w:tbl>
    <w:p w14:paraId="2DE50391" w14:textId="77777777" w:rsidR="00587CD0" w:rsidRDefault="00587CD0" w:rsidP="00587CD0">
      <w:pPr>
        <w:spacing w:before="60"/>
      </w:pPr>
    </w:p>
    <w:p w14:paraId="45C693D6" w14:textId="77777777" w:rsidR="00587CD0" w:rsidRDefault="00587CD0" w:rsidP="00587CD0">
      <w:pPr>
        <w:pStyle w:val="Heading3"/>
        <w:pBdr>
          <w:bottom w:val="single" w:sz="4" w:space="0" w:color="2B7BE8"/>
        </w:pBdr>
      </w:pPr>
      <w:bookmarkStart w:id="2" w:name="_Toc223908303"/>
      <w:bookmarkStart w:id="3" w:name="_Toc224031103"/>
      <w:r>
        <w:t>Five Things Every Leader Must Know</w:t>
      </w:r>
      <w:bookmarkEnd w:id="2"/>
      <w:bookmarkEnd w:id="3"/>
    </w:p>
    <w:p w14:paraId="6E22617D" w14:textId="77777777" w:rsidR="00587CD0" w:rsidRDefault="00587CD0" w:rsidP="008C6E7C">
      <w:pPr>
        <w:pStyle w:val="ListParagraph"/>
        <w:numPr>
          <w:ilvl w:val="0"/>
          <w:numId w:val="43"/>
        </w:numPr>
        <w:spacing w:before="60" w:after="60" w:line="240" w:lineRule="auto"/>
        <w:contextualSpacing w:val="0"/>
      </w:pPr>
      <w:r>
        <w:rPr>
          <w:b/>
          <w:bCs/>
          <w:color w:val="0D1F3C"/>
        </w:rPr>
        <w:t xml:space="preserve">The hardware dependency is real and unavoidable. </w:t>
      </w:r>
      <w:r>
        <w:rPr>
          <w:color w:val="333333"/>
        </w:rPr>
        <w:t>TSMC, ASML, NVIDIA, and US EDA tools are chokepoints in every AI cluster. Accept them as documented risk.</w:t>
      </w:r>
    </w:p>
    <w:p w14:paraId="3802F611" w14:textId="77777777" w:rsidR="00587CD0" w:rsidRDefault="00587CD0" w:rsidP="008C6E7C">
      <w:pPr>
        <w:pStyle w:val="ListParagraph"/>
        <w:numPr>
          <w:ilvl w:val="0"/>
          <w:numId w:val="43"/>
        </w:numPr>
        <w:spacing w:before="60" w:after="60" w:line="240" w:lineRule="auto"/>
        <w:contextualSpacing w:val="0"/>
      </w:pPr>
      <w:r>
        <w:rPr>
          <w:b/>
          <w:bCs/>
          <w:color w:val="0D1F3C"/>
        </w:rPr>
        <w:t xml:space="preserve">Data residency ≠ data sovereignty. </w:t>
      </w:r>
      <w:r>
        <w:rPr>
          <w:color w:val="333333"/>
        </w:rPr>
        <w:t>Storing data in a local data center operated by a US-incorporated provider does not protect it from the CLOUD Act. Provider nationality, not data location, determines jurisdiction.</w:t>
      </w:r>
    </w:p>
    <w:p w14:paraId="64A6B52D" w14:textId="77777777" w:rsidR="00587CD0" w:rsidRDefault="00587CD0" w:rsidP="008C6E7C">
      <w:pPr>
        <w:pStyle w:val="ListParagraph"/>
        <w:numPr>
          <w:ilvl w:val="0"/>
          <w:numId w:val="43"/>
        </w:numPr>
        <w:spacing w:before="60" w:after="60" w:line="240" w:lineRule="auto"/>
        <w:contextualSpacing w:val="0"/>
      </w:pPr>
      <w:r>
        <w:rPr>
          <w:b/>
          <w:bCs/>
          <w:color w:val="0D1F3C"/>
        </w:rPr>
        <w:t xml:space="preserve">Software is the most underestimated risk. </w:t>
      </w:r>
      <w:r>
        <w:rPr>
          <w:color w:val="333333"/>
        </w:rPr>
        <w:t>Uncontrolled external dependencies, SaaS MLOps tools, and public package repositories can defeat all hardware sovereignty efforts silently.</w:t>
      </w:r>
    </w:p>
    <w:p w14:paraId="6A8178BB" w14:textId="77777777" w:rsidR="00587CD0" w:rsidRDefault="00587CD0" w:rsidP="008C6E7C">
      <w:pPr>
        <w:pStyle w:val="ListParagraph"/>
        <w:numPr>
          <w:ilvl w:val="0"/>
          <w:numId w:val="43"/>
        </w:numPr>
        <w:spacing w:before="60" w:after="60" w:line="240" w:lineRule="auto"/>
        <w:contextualSpacing w:val="0"/>
      </w:pPr>
      <w:r>
        <w:rPr>
          <w:b/>
          <w:bCs/>
          <w:color w:val="0D1F3C"/>
        </w:rPr>
        <w:t xml:space="preserve">Customer-managed keys in sovereign HSMs are the primary technical countermeasure. </w:t>
      </w:r>
      <w:r>
        <w:rPr>
          <w:color w:val="333333"/>
        </w:rPr>
        <w:t>They create a legal barrier that forces separate compulsion of the key holder.</w:t>
      </w:r>
    </w:p>
    <w:p w14:paraId="040181AB" w14:textId="77777777" w:rsidR="00587CD0" w:rsidRDefault="00587CD0" w:rsidP="008C6E7C">
      <w:pPr>
        <w:pStyle w:val="ListParagraph"/>
        <w:numPr>
          <w:ilvl w:val="0"/>
          <w:numId w:val="43"/>
        </w:numPr>
        <w:spacing w:before="60" w:after="60" w:line="240" w:lineRule="auto"/>
        <w:contextualSpacing w:val="0"/>
      </w:pPr>
      <w:r>
        <w:rPr>
          <w:b/>
          <w:bCs/>
          <w:color w:val="0D1F3C"/>
        </w:rPr>
        <w:t xml:space="preserve">Sovereignty is a governance and engineering discipline, not a product you buy. </w:t>
      </w:r>
      <w:r>
        <w:rPr>
          <w:color w:val="333333"/>
        </w:rPr>
        <w:t>No single provider, certification, or contract delivers it.</w:t>
      </w:r>
    </w:p>
    <w:p w14:paraId="60E70695" w14:textId="77777777" w:rsidR="00587CD0" w:rsidRPr="00587CD0" w:rsidRDefault="00587CD0" w:rsidP="00587CD0"/>
    <w:p w14:paraId="174EDC60" w14:textId="77777777" w:rsidR="00A976AD" w:rsidRDefault="00A976AD">
      <w:pPr>
        <w:rPr>
          <w:rFonts w:eastAsiaTheme="majorEastAsia" w:cstheme="majorBidi"/>
          <w:color w:val="0F4761" w:themeColor="accent1" w:themeShade="BF"/>
          <w:sz w:val="36"/>
          <w:szCs w:val="40"/>
        </w:rPr>
      </w:pPr>
      <w:r>
        <w:br w:type="page"/>
      </w:r>
    </w:p>
    <w:p w14:paraId="0B413E8D" w14:textId="46892B4C" w:rsidR="00DA59A1" w:rsidRPr="00810A46" w:rsidRDefault="00DA59A1" w:rsidP="00DA59A1">
      <w:pPr>
        <w:pStyle w:val="Heading1"/>
      </w:pPr>
      <w:bookmarkStart w:id="4" w:name="_Toc224031104"/>
      <w:r>
        <w:lastRenderedPageBreak/>
        <w:t>What is Sovereign Cloud</w:t>
      </w:r>
      <w:bookmarkEnd w:id="4"/>
    </w:p>
    <w:p w14:paraId="31BD4F75" w14:textId="661818C9" w:rsidR="00810A46" w:rsidRPr="00810A46" w:rsidRDefault="00810A46" w:rsidP="00810A46">
      <w:r>
        <w:t xml:space="preserve">Sovereign Cloud refers to cloud computing infrastructure that is designed to ensure data residency, legal jurisdiction, operational control, and access governance remain within a specific nation or regulatory boundary. It's cloud computing but with guarantees about </w:t>
      </w:r>
      <w:r>
        <w:rPr>
          <w:i/>
          <w:iCs/>
          <w:u w:val="single"/>
        </w:rPr>
        <w:t>where</w:t>
      </w:r>
      <w:r>
        <w:t xml:space="preserve"> your data lives, </w:t>
      </w:r>
      <w:r>
        <w:rPr>
          <w:i/>
          <w:iCs/>
          <w:u w:val="single"/>
        </w:rPr>
        <w:t>who</w:t>
      </w:r>
      <w:r>
        <w:t xml:space="preserve"> can access it, and</w:t>
      </w:r>
      <w:r>
        <w:rPr>
          <w:i/>
          <w:iCs/>
        </w:rPr>
        <w:t xml:space="preserve"> whose </w:t>
      </w:r>
      <w:r>
        <w:rPr>
          <w:i/>
          <w:iCs/>
          <w:u w:val="single"/>
        </w:rPr>
        <w:t>jurisdiction</w:t>
      </w:r>
      <w:r>
        <w:t xml:space="preserve"> it operates.</w:t>
      </w:r>
    </w:p>
    <w:p w14:paraId="469E0130" w14:textId="77777777" w:rsidR="00810A46" w:rsidRPr="00810A46" w:rsidRDefault="00810A46" w:rsidP="00DA59A1">
      <w:pPr>
        <w:pStyle w:val="Heading2"/>
      </w:pPr>
      <w:bookmarkStart w:id="5" w:name="_Toc224031105"/>
      <w:r>
        <w:t>How It Differs from Regular Cloud</w:t>
      </w:r>
      <w:bookmarkEnd w:id="5"/>
    </w:p>
    <w:p w14:paraId="36A0656E" w14:textId="1E0B9E56" w:rsidR="00810A46" w:rsidRPr="00810A46" w:rsidRDefault="00810A46" w:rsidP="00810A46">
      <w:r>
        <w:t xml:space="preserve">When you use AWS, Azure, or Google Cloud in their standard form, you're </w:t>
      </w:r>
      <w:r w:rsidR="00FC1CF1">
        <w:t>trusting</w:t>
      </w:r>
      <w:r>
        <w:t xml:space="preserve"> a foreign corporation operating under foreign law. Consider the practical implications: the </w:t>
      </w:r>
      <w:hyperlink w:anchor="_United_States" w:history="1">
        <w:r w:rsidRPr="00A35C47">
          <w:rPr>
            <w:rStyle w:val="Hyperlink"/>
          </w:rPr>
          <w:t>US CLOUD Act of 2018</w:t>
        </w:r>
      </w:hyperlink>
      <w:r>
        <w:t xml:space="preserve">, for example, allows US law enforcement to compel American cloud providers to hand over data stored </w:t>
      </w:r>
      <w:r>
        <w:rPr>
          <w:i/>
          <w:iCs/>
        </w:rPr>
        <w:t>anywhere in the world</w:t>
      </w:r>
      <w:r>
        <w:t xml:space="preserve"> even if that data belongs to a European citizen stored on a European server. This is precisely the kind of jurisdictional vulnerability that Sovereign Cloud is designed to eliminate.</w:t>
      </w:r>
      <w:r w:rsidR="00AD7679">
        <w:t xml:space="preserve"> We will </w:t>
      </w:r>
      <w:r w:rsidR="00E56B11">
        <w:t>get into</w:t>
      </w:r>
      <w:r w:rsidR="00AD7679">
        <w:t xml:space="preserve"> </w:t>
      </w:r>
      <w:hyperlink w:anchor="_Data_Privacy_Laws" w:history="1">
        <w:r w:rsidR="00C15763" w:rsidRPr="00C15763">
          <w:rPr>
            <w:rStyle w:val="Hyperlink"/>
          </w:rPr>
          <w:t>Data Privacy</w:t>
        </w:r>
      </w:hyperlink>
      <w:r w:rsidR="00C15763">
        <w:t xml:space="preserve"> and </w:t>
      </w:r>
      <w:hyperlink w:anchor="_Jurisdictional_Law" w:history="1">
        <w:r w:rsidR="00C15763" w:rsidRPr="00C15763">
          <w:rPr>
            <w:rStyle w:val="Hyperlink"/>
          </w:rPr>
          <w:t>Jurisdiction laws</w:t>
        </w:r>
      </w:hyperlink>
      <w:r w:rsidR="00C15763">
        <w:t xml:space="preserve"> </w:t>
      </w:r>
      <w:r w:rsidR="00B22C90">
        <w:t>later</w:t>
      </w:r>
      <w:r w:rsidR="00C15763">
        <w:t xml:space="preserve"> in this guide.</w:t>
      </w:r>
    </w:p>
    <w:p w14:paraId="42600261" w14:textId="77777777" w:rsidR="00810A46" w:rsidRDefault="00810A46" w:rsidP="00810A46">
      <w:r>
        <w:t>A Sovereign Cloud might look identical to a regular cloud from a technical standpoint, but it introduces legal and operational controls such as data never leaving a defined geographic boundary, operational staff being vetted citizens of the host nation, encryption keys being held exclusively by the customer or a domestic entity, and the cloud operator being legally structured to resist foreign government subpoenas.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9"/>
        <w:gridCol w:w="3240"/>
        <w:gridCol w:w="3599"/>
      </w:tblGrid>
      <w:tr w:rsidR="00E47B30" w14:paraId="2E4B01CE" w14:textId="77777777" w:rsidTr="002E012F">
        <w:trPr>
          <w:trHeight w:val="247"/>
        </w:trPr>
        <w:tc>
          <w:tcPr>
            <w:tcW w:w="251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7D061DB0" w14:textId="77777777" w:rsidR="00E47B30" w:rsidRDefault="00E47B30" w:rsidP="001D1A28">
            <w:r>
              <w:rPr>
                <w:b/>
                <w:bCs/>
                <w:color w:val="FFFFFF"/>
                <w:sz w:val="20"/>
                <w:szCs w:val="20"/>
              </w:rPr>
              <w:t>Dimension</w:t>
            </w:r>
          </w:p>
        </w:tc>
        <w:tc>
          <w:tcPr>
            <w:tcW w:w="3240"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6EADD4AF" w14:textId="70C1292B" w:rsidR="00E47B30" w:rsidRDefault="00E47B30" w:rsidP="001D1A28">
            <w:r>
              <w:rPr>
                <w:b/>
                <w:bCs/>
                <w:color w:val="FFFFFF"/>
                <w:sz w:val="20"/>
                <w:szCs w:val="20"/>
              </w:rPr>
              <w:t>Public Cloud</w:t>
            </w:r>
          </w:p>
        </w:tc>
        <w:tc>
          <w:tcPr>
            <w:tcW w:w="359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1DC51F35" w14:textId="77777777" w:rsidR="00E47B30" w:rsidRDefault="00E47B30" w:rsidP="001D1A28">
            <w:r>
              <w:rPr>
                <w:b/>
                <w:bCs/>
                <w:color w:val="FFFFFF"/>
                <w:sz w:val="20"/>
                <w:szCs w:val="20"/>
              </w:rPr>
              <w:t>Sovereign Cloud</w:t>
            </w:r>
          </w:p>
        </w:tc>
      </w:tr>
      <w:tr w:rsidR="00E47B30" w14:paraId="6E3C7FC6" w14:textId="77777777" w:rsidTr="002E012F">
        <w:trPr>
          <w:trHeight w:val="247"/>
        </w:trPr>
        <w:tc>
          <w:tcPr>
            <w:tcW w:w="251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E91159A" w14:textId="77777777" w:rsidR="00E47B30" w:rsidRDefault="00E47B30" w:rsidP="001D1A28">
            <w:r>
              <w:rPr>
                <w:color w:val="333333"/>
                <w:sz w:val="20"/>
                <w:szCs w:val="20"/>
              </w:rPr>
              <w:t>Data Residency</w:t>
            </w:r>
          </w:p>
        </w:tc>
        <w:tc>
          <w:tcPr>
            <w:tcW w:w="324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EF67FA5" w14:textId="77777777" w:rsidR="00E47B30" w:rsidRDefault="00E47B30" w:rsidP="001D1A28">
            <w:r>
              <w:rPr>
                <w:color w:val="333333"/>
                <w:sz w:val="20"/>
                <w:szCs w:val="20"/>
              </w:rPr>
              <w:t>Best-effort; provider may move data across regions</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18BE0D2" w14:textId="77777777" w:rsidR="00E47B30" w:rsidRDefault="00E47B30" w:rsidP="001D1A28">
            <w:r>
              <w:rPr>
                <w:color w:val="333333"/>
                <w:sz w:val="20"/>
                <w:szCs w:val="20"/>
              </w:rPr>
              <w:t>Contractually guaranteed within defined jurisdiction</w:t>
            </w:r>
          </w:p>
        </w:tc>
      </w:tr>
      <w:tr w:rsidR="00E47B30" w14:paraId="68535DD6" w14:textId="77777777" w:rsidTr="002E012F">
        <w:trPr>
          <w:trHeight w:val="247"/>
        </w:trPr>
        <w:tc>
          <w:tcPr>
            <w:tcW w:w="251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1FEC492" w14:textId="77777777" w:rsidR="00E47B30" w:rsidRDefault="00E47B30" w:rsidP="001D1A28">
            <w:r>
              <w:rPr>
                <w:color w:val="333333"/>
                <w:sz w:val="20"/>
                <w:szCs w:val="20"/>
              </w:rPr>
              <w:t>Legal Jurisdiction</w:t>
            </w:r>
          </w:p>
        </w:tc>
        <w:tc>
          <w:tcPr>
            <w:tcW w:w="324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5C7DACC" w14:textId="77777777" w:rsidR="00E47B30" w:rsidRDefault="00E47B30" w:rsidP="001D1A28">
            <w:r>
              <w:rPr>
                <w:color w:val="333333"/>
                <w:sz w:val="20"/>
                <w:szCs w:val="20"/>
              </w:rPr>
              <w:t>Provider's home country (often US CLOUD Act)</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F21A212" w14:textId="77777777" w:rsidR="00E47B30" w:rsidRDefault="00E47B30" w:rsidP="001D1A28">
            <w:r>
              <w:rPr>
                <w:color w:val="333333"/>
                <w:sz w:val="20"/>
                <w:szCs w:val="20"/>
              </w:rPr>
              <w:t>Customer's jurisdiction; provider subject to local law</w:t>
            </w:r>
          </w:p>
        </w:tc>
      </w:tr>
      <w:tr w:rsidR="00E47B30" w14:paraId="7B9C02F8" w14:textId="77777777" w:rsidTr="002E012F">
        <w:trPr>
          <w:trHeight w:val="247"/>
        </w:trPr>
        <w:tc>
          <w:tcPr>
            <w:tcW w:w="251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143B7A7" w14:textId="77777777" w:rsidR="00E47B30" w:rsidRDefault="00E47B30" w:rsidP="001D1A28">
            <w:r>
              <w:rPr>
                <w:color w:val="333333"/>
                <w:sz w:val="20"/>
                <w:szCs w:val="20"/>
              </w:rPr>
              <w:t>Key Management</w:t>
            </w:r>
          </w:p>
        </w:tc>
        <w:tc>
          <w:tcPr>
            <w:tcW w:w="324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DE9647F" w14:textId="77777777" w:rsidR="00E47B30" w:rsidRDefault="00E47B30" w:rsidP="001D1A28">
            <w:r>
              <w:rPr>
                <w:color w:val="333333"/>
                <w:sz w:val="20"/>
                <w:szCs w:val="20"/>
              </w:rPr>
              <w:t>Provider holds encryption keys</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DC14C60" w14:textId="77777777" w:rsidR="00E47B30" w:rsidRDefault="00E47B30" w:rsidP="001D1A28">
            <w:r>
              <w:rPr>
                <w:color w:val="333333"/>
                <w:sz w:val="20"/>
                <w:szCs w:val="20"/>
              </w:rPr>
              <w:t>Customer holds keys in sovereign HSMs</w:t>
            </w:r>
          </w:p>
        </w:tc>
      </w:tr>
      <w:tr w:rsidR="00E47B30" w14:paraId="650F134E" w14:textId="77777777" w:rsidTr="002E012F">
        <w:trPr>
          <w:trHeight w:val="247"/>
        </w:trPr>
        <w:tc>
          <w:tcPr>
            <w:tcW w:w="251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B2AED4A" w14:textId="77777777" w:rsidR="00E47B30" w:rsidRDefault="00E47B30" w:rsidP="001D1A28">
            <w:r>
              <w:rPr>
                <w:color w:val="333333"/>
                <w:sz w:val="20"/>
                <w:szCs w:val="20"/>
              </w:rPr>
              <w:t>Audit Rights</w:t>
            </w:r>
          </w:p>
        </w:tc>
        <w:tc>
          <w:tcPr>
            <w:tcW w:w="324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8DDF9D7" w14:textId="77777777" w:rsidR="00E47B30" w:rsidRDefault="00E47B30" w:rsidP="001D1A28">
            <w:r>
              <w:rPr>
                <w:color w:val="333333"/>
                <w:sz w:val="20"/>
                <w:szCs w:val="20"/>
              </w:rPr>
              <w:t>Provider-supplied reports only</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6C66B4B" w14:textId="77777777" w:rsidR="00E47B30" w:rsidRDefault="00E47B30" w:rsidP="001D1A28">
            <w:r>
              <w:rPr>
                <w:color w:val="333333"/>
                <w:sz w:val="20"/>
                <w:szCs w:val="20"/>
              </w:rPr>
              <w:t>Contractual right to independent audits</w:t>
            </w:r>
          </w:p>
        </w:tc>
      </w:tr>
      <w:tr w:rsidR="00E47B30" w14:paraId="1D562A92" w14:textId="77777777" w:rsidTr="002E012F">
        <w:trPr>
          <w:trHeight w:val="247"/>
        </w:trPr>
        <w:tc>
          <w:tcPr>
            <w:tcW w:w="251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E64893B" w14:textId="77777777" w:rsidR="00E47B30" w:rsidRDefault="00E47B30" w:rsidP="001D1A28">
            <w:r>
              <w:rPr>
                <w:color w:val="333333"/>
                <w:sz w:val="20"/>
                <w:szCs w:val="20"/>
              </w:rPr>
              <w:t>Personnel Vetting</w:t>
            </w:r>
          </w:p>
        </w:tc>
        <w:tc>
          <w:tcPr>
            <w:tcW w:w="324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1F15382" w14:textId="77777777" w:rsidR="00E47B30" w:rsidRDefault="00E47B30" w:rsidP="001D1A28">
            <w:r>
              <w:rPr>
                <w:color w:val="333333"/>
                <w:sz w:val="20"/>
                <w:szCs w:val="20"/>
              </w:rPr>
              <w:t>Provider's standard HR processes</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21D691B" w14:textId="77777777" w:rsidR="00E47B30" w:rsidRDefault="00E47B30" w:rsidP="001D1A28">
            <w:r>
              <w:rPr>
                <w:color w:val="333333"/>
                <w:sz w:val="20"/>
                <w:szCs w:val="20"/>
              </w:rPr>
              <w:t>National-security-cleared personnel where required</w:t>
            </w:r>
          </w:p>
        </w:tc>
      </w:tr>
      <w:tr w:rsidR="00E47B30" w14:paraId="71422D69" w14:textId="77777777" w:rsidTr="002E012F">
        <w:trPr>
          <w:trHeight w:val="247"/>
        </w:trPr>
        <w:tc>
          <w:tcPr>
            <w:tcW w:w="251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DABDCE3" w14:textId="77777777" w:rsidR="00E47B30" w:rsidRDefault="00E47B30" w:rsidP="001D1A28">
            <w:r>
              <w:rPr>
                <w:color w:val="333333"/>
                <w:sz w:val="20"/>
                <w:szCs w:val="20"/>
              </w:rPr>
              <w:t>Operational Control</w:t>
            </w:r>
          </w:p>
        </w:tc>
        <w:tc>
          <w:tcPr>
            <w:tcW w:w="324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545ACA3" w14:textId="77777777" w:rsidR="00E47B30" w:rsidRDefault="00E47B30" w:rsidP="001D1A28">
            <w:r>
              <w:rPr>
                <w:color w:val="333333"/>
                <w:sz w:val="20"/>
                <w:szCs w:val="20"/>
              </w:rPr>
              <w:t>Provider retains full access</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CFC9739" w14:textId="77777777" w:rsidR="00E47B30" w:rsidRDefault="00E47B30" w:rsidP="001D1A28">
            <w:r>
              <w:rPr>
                <w:color w:val="333333"/>
                <w:sz w:val="20"/>
                <w:szCs w:val="20"/>
              </w:rPr>
              <w:t>Customer can limit or exclude provider access</w:t>
            </w:r>
          </w:p>
        </w:tc>
      </w:tr>
    </w:tbl>
    <w:p w14:paraId="3CDCC88A" w14:textId="77777777" w:rsidR="00E47B30" w:rsidRPr="00810A46" w:rsidRDefault="00E47B30" w:rsidP="00810A46"/>
    <w:p w14:paraId="78481FC6" w14:textId="31601800" w:rsidR="00810A46" w:rsidRPr="00810A46" w:rsidRDefault="00810A46" w:rsidP="00DA59A1">
      <w:pPr>
        <w:pStyle w:val="Heading2"/>
      </w:pPr>
      <w:bookmarkStart w:id="6" w:name="_Toc224031106"/>
      <w:r>
        <w:t>Technical Architecture</w:t>
      </w:r>
      <w:bookmarkEnd w:id="6"/>
    </w:p>
    <w:p w14:paraId="2CA82A7A" w14:textId="77777777" w:rsidR="00CF4FBA" w:rsidRDefault="0007326F" w:rsidP="0007326F">
      <w:pPr>
        <w:spacing w:before="80" w:after="80"/>
        <w:jc w:val="both"/>
        <w:rPr>
          <w:color w:val="333333"/>
        </w:rPr>
      </w:pPr>
      <w:r>
        <w:rPr>
          <w:color w:val="333333"/>
        </w:rPr>
        <w:t xml:space="preserve">Sovereign Cloud architectures implement controls at multiple layers: </w:t>
      </w:r>
    </w:p>
    <w:p w14:paraId="1E2390FB" w14:textId="4D826D7B" w:rsidR="00CF4FBA" w:rsidRPr="006C4F75" w:rsidRDefault="006C4F75" w:rsidP="008C6E7C">
      <w:pPr>
        <w:pStyle w:val="ListParagraph"/>
        <w:numPr>
          <w:ilvl w:val="0"/>
          <w:numId w:val="44"/>
        </w:numPr>
        <w:spacing w:before="80" w:after="80"/>
        <w:jc w:val="both"/>
        <w:rPr>
          <w:color w:val="333333"/>
        </w:rPr>
      </w:pPr>
      <w:r w:rsidRPr="00356CC0">
        <w:rPr>
          <w:b/>
          <w:bCs/>
          <w:color w:val="333333"/>
        </w:rPr>
        <w:t>P</w:t>
      </w:r>
      <w:r w:rsidR="0007326F" w:rsidRPr="00356CC0">
        <w:rPr>
          <w:b/>
          <w:bCs/>
          <w:color w:val="333333"/>
        </w:rPr>
        <w:t>hysical isolation</w:t>
      </w:r>
      <w:r w:rsidR="0007326F" w:rsidRPr="006C4F75">
        <w:rPr>
          <w:color w:val="333333"/>
        </w:rPr>
        <w:t xml:space="preserve"> </w:t>
      </w:r>
      <w:r w:rsidR="00301D06">
        <w:rPr>
          <w:color w:val="333333"/>
        </w:rPr>
        <w:t xml:space="preserve">through </w:t>
      </w:r>
      <w:r w:rsidR="0007326F" w:rsidRPr="006C4F75">
        <w:rPr>
          <w:color w:val="333333"/>
        </w:rPr>
        <w:t>dedicated hardware or cages</w:t>
      </w:r>
      <w:r w:rsidR="00822790">
        <w:rPr>
          <w:color w:val="333333"/>
        </w:rPr>
        <w:t xml:space="preserve">. </w:t>
      </w:r>
    </w:p>
    <w:p w14:paraId="4EEB2C2E" w14:textId="05B7521F" w:rsidR="00CF4FBA" w:rsidRPr="006C4F75" w:rsidRDefault="006C4F75" w:rsidP="008C6E7C">
      <w:pPr>
        <w:pStyle w:val="ListParagraph"/>
        <w:numPr>
          <w:ilvl w:val="0"/>
          <w:numId w:val="44"/>
        </w:numPr>
        <w:spacing w:before="80" w:after="80"/>
        <w:jc w:val="both"/>
        <w:rPr>
          <w:color w:val="333333"/>
        </w:rPr>
      </w:pPr>
      <w:r w:rsidRPr="00356CC0">
        <w:rPr>
          <w:b/>
          <w:bCs/>
          <w:color w:val="333333"/>
        </w:rPr>
        <w:lastRenderedPageBreak/>
        <w:t>L</w:t>
      </w:r>
      <w:r w:rsidR="0007326F" w:rsidRPr="00356CC0">
        <w:rPr>
          <w:b/>
          <w:bCs/>
          <w:color w:val="333333"/>
        </w:rPr>
        <w:t>ogical isolation</w:t>
      </w:r>
      <w:r w:rsidR="0007326F" w:rsidRPr="006C4F75">
        <w:rPr>
          <w:color w:val="333333"/>
        </w:rPr>
        <w:t xml:space="preserve"> </w:t>
      </w:r>
      <w:r w:rsidR="00301D06">
        <w:rPr>
          <w:color w:val="333333"/>
        </w:rPr>
        <w:t xml:space="preserve">through </w:t>
      </w:r>
      <w:r w:rsidR="0007326F" w:rsidRPr="006C4F75">
        <w:rPr>
          <w:color w:val="333333"/>
        </w:rPr>
        <w:t>separate management planes and control surfaces</w:t>
      </w:r>
    </w:p>
    <w:p w14:paraId="490B2BC0" w14:textId="2D124DE0" w:rsidR="00CF4FBA" w:rsidRPr="0077095F" w:rsidRDefault="006C4F75" w:rsidP="008C6E7C">
      <w:pPr>
        <w:pStyle w:val="ListParagraph"/>
        <w:numPr>
          <w:ilvl w:val="0"/>
          <w:numId w:val="42"/>
        </w:numPr>
      </w:pPr>
      <w:r w:rsidRPr="00356CC0">
        <w:rPr>
          <w:b/>
          <w:bCs/>
          <w:color w:val="333333"/>
        </w:rPr>
        <w:t>C</w:t>
      </w:r>
      <w:r w:rsidR="0007326F" w:rsidRPr="00356CC0">
        <w:rPr>
          <w:b/>
          <w:bCs/>
          <w:color w:val="333333"/>
        </w:rPr>
        <w:t>ryptographic isolation</w:t>
      </w:r>
      <w:r w:rsidR="0007326F" w:rsidRPr="006C4F75">
        <w:rPr>
          <w:color w:val="333333"/>
        </w:rPr>
        <w:t xml:space="preserve"> </w:t>
      </w:r>
      <w:r w:rsidR="00301D06">
        <w:rPr>
          <w:color w:val="333333"/>
        </w:rPr>
        <w:t xml:space="preserve">using </w:t>
      </w:r>
      <w:r w:rsidR="0007326F" w:rsidRPr="006C4F75">
        <w:rPr>
          <w:color w:val="333333"/>
        </w:rPr>
        <w:t>customer-controlled encryption keys</w:t>
      </w:r>
      <w:r w:rsidR="00CE01F9">
        <w:rPr>
          <w:color w:val="333333"/>
        </w:rPr>
        <w:t xml:space="preserve"> </w:t>
      </w:r>
      <w:r w:rsidR="0077095F">
        <w:rPr>
          <w:color w:val="333333"/>
        </w:rPr>
        <w:t>establishing</w:t>
      </w:r>
      <w:r w:rsidR="00214E51">
        <w:rPr>
          <w:color w:val="333333"/>
        </w:rPr>
        <w:t xml:space="preserve"> </w:t>
      </w:r>
      <w:r w:rsidR="00214E51">
        <w:t>Key management sovereignty</w:t>
      </w:r>
      <w:r w:rsidR="0077095F">
        <w:t>. This</w:t>
      </w:r>
      <w:r w:rsidR="00214E51">
        <w:t xml:space="preserve"> means the customer controls their own Hardware Security Modules (HSMs), so even the cloud provider cannot decrypt the data.</w:t>
      </w:r>
    </w:p>
    <w:p w14:paraId="528B6D9B" w14:textId="53D57B3A" w:rsidR="00CF4FBA" w:rsidRPr="006C4F75" w:rsidRDefault="006C4F75" w:rsidP="008C6E7C">
      <w:pPr>
        <w:pStyle w:val="ListParagraph"/>
        <w:numPr>
          <w:ilvl w:val="0"/>
          <w:numId w:val="44"/>
        </w:numPr>
        <w:spacing w:before="80" w:after="80"/>
        <w:jc w:val="both"/>
        <w:rPr>
          <w:color w:val="333333"/>
        </w:rPr>
      </w:pPr>
      <w:r w:rsidRPr="00356CC0">
        <w:rPr>
          <w:b/>
          <w:bCs/>
          <w:color w:val="333333"/>
        </w:rPr>
        <w:t>L</w:t>
      </w:r>
      <w:r w:rsidR="0007326F" w:rsidRPr="00356CC0">
        <w:rPr>
          <w:b/>
          <w:bCs/>
          <w:color w:val="333333"/>
        </w:rPr>
        <w:t>egal isolation</w:t>
      </w:r>
      <w:r w:rsidR="0007326F" w:rsidRPr="006C4F75">
        <w:rPr>
          <w:color w:val="333333"/>
        </w:rPr>
        <w:t xml:space="preserve"> </w:t>
      </w:r>
      <w:r w:rsidR="00214E51">
        <w:rPr>
          <w:color w:val="333333"/>
        </w:rPr>
        <w:t xml:space="preserve">with </w:t>
      </w:r>
      <w:r w:rsidR="0007326F" w:rsidRPr="006C4F75">
        <w:rPr>
          <w:color w:val="333333"/>
        </w:rPr>
        <w:t>contractual limitations on provider access backed by local law</w:t>
      </w:r>
    </w:p>
    <w:p w14:paraId="2057432D" w14:textId="46DC4E76" w:rsidR="0007326F" w:rsidRDefault="0007326F" w:rsidP="0007326F">
      <w:pPr>
        <w:spacing w:before="80" w:after="80"/>
        <w:jc w:val="both"/>
      </w:pPr>
      <w:r>
        <w:rPr>
          <w:color w:val="333333"/>
        </w:rPr>
        <w:t xml:space="preserve">The combination of </w:t>
      </w:r>
      <w:r w:rsidR="00310D4A">
        <w:rPr>
          <w:color w:val="333333"/>
        </w:rPr>
        <w:t>these</w:t>
      </w:r>
      <w:r>
        <w:rPr>
          <w:color w:val="333333"/>
        </w:rPr>
        <w:t xml:space="preserve"> layers is what distinguishes genuine Sovereign Cloud from marketing claims.</w:t>
      </w:r>
      <w:r w:rsidR="00910545">
        <w:rPr>
          <w:color w:val="333333"/>
        </w:rPr>
        <w:t xml:space="preserve"> </w:t>
      </w:r>
      <w:r w:rsidR="005B350D">
        <w:rPr>
          <w:color w:val="333333"/>
        </w:rPr>
        <w:t>Some have</w:t>
      </w:r>
      <w:r w:rsidR="00B20D93">
        <w:rPr>
          <w:color w:val="333333"/>
        </w:rPr>
        <w:t xml:space="preserve"> chosen to maximize risk mitigation b</w:t>
      </w:r>
      <w:r w:rsidR="00CE18C3">
        <w:rPr>
          <w:color w:val="333333"/>
        </w:rPr>
        <w:t xml:space="preserve">y staying with </w:t>
      </w:r>
      <w:hyperlink w:anchor="_Private_Cloud" w:history="1">
        <w:r w:rsidR="005B350D" w:rsidRPr="003135EA">
          <w:rPr>
            <w:rStyle w:val="Hyperlink"/>
            <w:b/>
            <w:bCs/>
          </w:rPr>
          <w:t xml:space="preserve">on-premise </w:t>
        </w:r>
        <w:r w:rsidR="00CE18C3" w:rsidRPr="003135EA">
          <w:rPr>
            <w:rStyle w:val="Hyperlink"/>
          </w:rPr>
          <w:t>or</w:t>
        </w:r>
        <w:r w:rsidR="00CE18C3" w:rsidRPr="003135EA">
          <w:rPr>
            <w:rStyle w:val="Hyperlink"/>
            <w:b/>
            <w:bCs/>
          </w:rPr>
          <w:t xml:space="preserve"> hosted </w:t>
        </w:r>
        <w:r w:rsidR="005B350D" w:rsidRPr="003135EA">
          <w:rPr>
            <w:rStyle w:val="Hyperlink"/>
            <w:b/>
            <w:bCs/>
          </w:rPr>
          <w:t>private cloud</w:t>
        </w:r>
      </w:hyperlink>
      <w:r w:rsidR="00F41E21">
        <w:rPr>
          <w:color w:val="333333"/>
        </w:rPr>
        <w:t>.</w:t>
      </w:r>
    </w:p>
    <w:p w14:paraId="1BBE09CB" w14:textId="4D697972" w:rsidR="00810A46" w:rsidRPr="00810A46" w:rsidRDefault="00810A46" w:rsidP="00DA59A1">
      <w:pPr>
        <w:pStyle w:val="Heading2"/>
      </w:pPr>
      <w:bookmarkStart w:id="7" w:name="_Toc224031107"/>
      <w:r>
        <w:t>Market Response</w:t>
      </w:r>
      <w:bookmarkEnd w:id="7"/>
    </w:p>
    <w:p w14:paraId="46323A50" w14:textId="15D3492E" w:rsidR="007A729E" w:rsidRPr="00810A46" w:rsidRDefault="00810A46" w:rsidP="00685C76">
      <w:r>
        <w:t xml:space="preserve">Major cloud providers have responded to this demand by creating special sovereign offerings. Microsoft has its </w:t>
      </w:r>
      <w:r>
        <w:rPr>
          <w:b/>
          <w:bCs/>
        </w:rPr>
        <w:t>EU Sovereign Cloud</w:t>
      </w:r>
      <w:r>
        <w:t xml:space="preserve"> and operates dedicated government clouds. Google has </w:t>
      </w:r>
      <w:r>
        <w:rPr>
          <w:b/>
          <w:bCs/>
        </w:rPr>
        <w:t>Google Cloud Sovereign Solutions</w:t>
      </w:r>
      <w:r>
        <w:t xml:space="preserve">. AWS has </w:t>
      </w:r>
      <w:r>
        <w:rPr>
          <w:b/>
          <w:bCs/>
        </w:rPr>
        <w:t>AWS GovCloud</w:t>
      </w:r>
      <w:r>
        <w:t>. Interestingly, some countries have gone further. France requires that its government cloud (called "Cloud de Confiance") be operated by French companies, leading to partnerships where Thales and Orange operate licensed versions of Microsoft and Google technology under French legal control.</w:t>
      </w:r>
      <w:r w:rsidR="007E03FD">
        <w:t xml:space="preserve"> The </w:t>
      </w:r>
      <w:r w:rsidR="00685C76">
        <w:t>competitive advantage for any one of them is the jurisdictional guarantees they offer.</w:t>
      </w:r>
    </w:p>
    <w:p w14:paraId="287FCFEF" w14:textId="6993C41E" w:rsidR="00810A46" w:rsidRPr="00810A46" w:rsidRDefault="001B0837" w:rsidP="00DA59A1">
      <w:pPr>
        <w:pStyle w:val="Heading2"/>
      </w:pPr>
      <w:bookmarkStart w:id="8" w:name="_Toc224031108"/>
      <w:r>
        <w:t>Infrastructure tradeoffs</w:t>
      </w:r>
      <w:bookmarkEnd w:id="8"/>
    </w:p>
    <w:p w14:paraId="06D27C70" w14:textId="6C8DB11F" w:rsidR="00E5594F" w:rsidRDefault="00A73E51" w:rsidP="004A3AF8">
      <w:pPr>
        <w:spacing w:before="80" w:after="80"/>
        <w:jc w:val="both"/>
      </w:pPr>
      <w:r>
        <w:rPr>
          <w:color w:val="333333"/>
        </w:rPr>
        <w:t xml:space="preserve">Choosing a sovereign cloud architecture involves real tradeoffs. The highest assurance environments sacrifice elasticity, service breadth, and unit economics. </w:t>
      </w:r>
      <w:r w:rsidR="003C55FD">
        <w:rPr>
          <w:color w:val="333333"/>
        </w:rPr>
        <w:t>They are</w:t>
      </w:r>
      <w:r w:rsidR="00486F8C">
        <w:t xml:space="preserve"> expensive to build and maintain. Restricting yourself to in-country providers often means sacrificing economies of scale, access to cutting-edge services, and the global redundancy that makes hyperscale clouds so resilient. There's also a governance challenge defining exactly what </w:t>
      </w:r>
      <w:r w:rsidR="00486F8C">
        <w:rPr>
          <w:i/>
          <w:iCs/>
        </w:rPr>
        <w:t>sovereign</w:t>
      </w:r>
      <w:r w:rsidR="00486F8C">
        <w:t xml:space="preserve"> means legally </w:t>
      </w:r>
      <w:r w:rsidR="00883104">
        <w:t>with the boundary varying among nations.</w:t>
      </w:r>
      <w:r w:rsidR="00886352">
        <w:t xml:space="preserve"> </w:t>
      </w:r>
      <w:r w:rsidR="00886352">
        <w:rPr>
          <w:color w:val="333333"/>
        </w:rPr>
        <w:t>The following analysis maps deployment models to their sovereignty and capability profiles.</w:t>
      </w:r>
    </w:p>
    <w:p w14:paraId="24D91720" w14:textId="4BA7B05E" w:rsidR="007B7657" w:rsidRDefault="007B7657" w:rsidP="006F4026">
      <w:pPr>
        <w:pStyle w:val="Heading3"/>
      </w:pPr>
      <w:bookmarkStart w:id="9" w:name="_Private_Cloud"/>
      <w:bookmarkStart w:id="10" w:name="_Toc224031109"/>
      <w:bookmarkEnd w:id="9"/>
      <w:r>
        <w:t>Private Cloud</w:t>
      </w:r>
      <w:bookmarkEnd w:id="10"/>
    </w:p>
    <w:p w14:paraId="778F3437" w14:textId="02364C92" w:rsidR="00894025" w:rsidRDefault="00894025" w:rsidP="00810A46">
      <w:r>
        <w:t xml:space="preserve">Private Cloud </w:t>
      </w:r>
      <w:r w:rsidR="00886352">
        <w:t xml:space="preserve">answers </w:t>
      </w:r>
      <w:r>
        <w:rPr>
          <w:i/>
          <w:iCs/>
        </w:rPr>
        <w:t>who operates your infrastructure</w:t>
      </w:r>
      <w:r w:rsidR="006B1962">
        <w:t xml:space="preserve">. </w:t>
      </w:r>
      <w:r>
        <w:t xml:space="preserve">Cloud is a legal and jurisdictional guarantee about </w:t>
      </w:r>
      <w:r>
        <w:rPr>
          <w:i/>
          <w:iCs/>
        </w:rPr>
        <w:t>who can access your data</w:t>
      </w:r>
      <w:r>
        <w:t xml:space="preserve"> and </w:t>
      </w:r>
      <w:r>
        <w:rPr>
          <w:i/>
          <w:iCs/>
        </w:rPr>
        <w:t>under whose laws your infrastructure operates</w:t>
      </w:r>
      <w:r>
        <w:t>. These are related but entirely distinct properties where you can have one without the other.</w:t>
      </w:r>
    </w:p>
    <w:p w14:paraId="220E8540" w14:textId="2C81A12C" w:rsidR="008A470A" w:rsidRPr="00516A92" w:rsidRDefault="00516A92" w:rsidP="008C6E7C">
      <w:pPr>
        <w:pStyle w:val="ListParagraph"/>
        <w:numPr>
          <w:ilvl w:val="0"/>
          <w:numId w:val="36"/>
        </w:numPr>
      </w:pPr>
      <w:r>
        <w:rPr>
          <w:b/>
          <w:bCs/>
        </w:rPr>
        <w:t>On-premises Private Cloud</w:t>
      </w:r>
      <w:r>
        <w:t xml:space="preserve"> </w:t>
      </w:r>
      <w:r w:rsidR="00072E81">
        <w:t>provides the highest sovereignty assurance. T</w:t>
      </w:r>
      <w:r>
        <w:t>he organization owns the hardware, operates it in their own data center</w:t>
      </w:r>
      <w:r w:rsidR="002A7F58">
        <w:t xml:space="preserve"> and the </w:t>
      </w:r>
      <w:r>
        <w:t xml:space="preserve">cloud management platform on top of it. Common platforms include </w:t>
      </w:r>
      <w:r>
        <w:rPr>
          <w:b/>
          <w:bCs/>
        </w:rPr>
        <w:t>VMware vSphere/vSAN</w:t>
      </w:r>
      <w:r>
        <w:t xml:space="preserve">, </w:t>
      </w:r>
      <w:r>
        <w:rPr>
          <w:b/>
          <w:bCs/>
        </w:rPr>
        <w:t>OpenStack</w:t>
      </w:r>
      <w:r>
        <w:t xml:space="preserve">, </w:t>
      </w:r>
      <w:r>
        <w:rPr>
          <w:b/>
          <w:bCs/>
        </w:rPr>
        <w:t>Nutanix</w:t>
      </w:r>
      <w:r>
        <w:t xml:space="preserve">, and </w:t>
      </w:r>
      <w:r>
        <w:rPr>
          <w:b/>
          <w:bCs/>
        </w:rPr>
        <w:t>Red Hat OpenShift</w:t>
      </w:r>
      <w:r>
        <w:t xml:space="preserve">. </w:t>
      </w:r>
      <w:r w:rsidR="003F56A1">
        <w:rPr>
          <w:color w:val="333333"/>
        </w:rPr>
        <w:t>The tradeoff is capital intensity, operational complexity, and limits on elastic scale for large AI training runs</w:t>
      </w:r>
      <w:r>
        <w:t>.</w:t>
      </w:r>
    </w:p>
    <w:p w14:paraId="725EFA08" w14:textId="4371AE87" w:rsidR="008A470A" w:rsidRPr="008A470A" w:rsidRDefault="00516A92" w:rsidP="008C6E7C">
      <w:pPr>
        <w:pStyle w:val="ListParagraph"/>
        <w:numPr>
          <w:ilvl w:val="0"/>
          <w:numId w:val="36"/>
        </w:numPr>
      </w:pPr>
      <w:r>
        <w:rPr>
          <w:b/>
          <w:bCs/>
        </w:rPr>
        <w:t>Hosted Private Cloud</w:t>
      </w:r>
      <w:r>
        <w:t xml:space="preserve"> </w:t>
      </w:r>
      <w:r w:rsidR="00E9627A">
        <w:rPr>
          <w:color w:val="333333"/>
        </w:rPr>
        <w:t>(dedicated hardware at a third-party facility) provides physical isolation without ownership.</w:t>
      </w:r>
      <w:r>
        <w:t xml:space="preserve"> The organization gets logical and sometimes physical isolation but does not own the underlying infrastructure. Providers like Rackspace, Lumen, and regional managed service providers offer this model.</w:t>
      </w:r>
    </w:p>
    <w:p w14:paraId="2FBB42B8" w14:textId="221A9F53" w:rsidR="00516A92" w:rsidRDefault="00516A92" w:rsidP="008C6E7C">
      <w:pPr>
        <w:pStyle w:val="ListParagraph"/>
        <w:numPr>
          <w:ilvl w:val="0"/>
          <w:numId w:val="36"/>
        </w:numPr>
      </w:pPr>
      <w:r>
        <w:rPr>
          <w:b/>
          <w:bCs/>
        </w:rPr>
        <w:t>Virtual Private Cloud (VPC)</w:t>
      </w:r>
      <w:r>
        <w:t xml:space="preserve"> within a hyperscaler (AWS VPC, Azure Virtual Network, Google VPC) is frequently marketed as private cloud but is neither private nor sovereign in any meaningful sense. It is a logically isolated partition within a massively shared public cloud infrastructure. The </w:t>
      </w:r>
      <w:r>
        <w:lastRenderedPageBreak/>
        <w:t>hardware is shared, the management plane is shared, and the provider retains full access. This is the most dangerous conflation in the market.</w:t>
      </w:r>
    </w:p>
    <w:p w14:paraId="3E963B8C" w14:textId="24AEDBC1" w:rsidR="00A673ED" w:rsidRDefault="004F0FA2" w:rsidP="00CF29C4">
      <w:pPr>
        <w:pStyle w:val="Heading2"/>
      </w:pPr>
      <w:bookmarkStart w:id="11" w:name="_Toc224031110"/>
      <w:r>
        <w:t>Hybrid Cloud</w:t>
      </w:r>
      <w:bookmarkEnd w:id="11"/>
    </w:p>
    <w:p w14:paraId="3221AEFF" w14:textId="3B3B7CA6" w:rsidR="00CC6AE6" w:rsidRDefault="00CC6AE6" w:rsidP="00CC6AE6">
      <w:pPr>
        <w:spacing w:before="80" w:after="80"/>
        <w:jc w:val="both"/>
        <w:rPr>
          <w:color w:val="333333"/>
        </w:rPr>
      </w:pPr>
      <w:r>
        <w:rPr>
          <w:color w:val="333333"/>
        </w:rPr>
        <w:t>Hybrid Cloud answers what is the right environment for each workload given its sensitivity, performance, and sovereignty obligations. For sovereign AI programs this is frequently the only realistic answer. No single deployment model satisfies every requirement.</w:t>
      </w:r>
    </w:p>
    <w:p w14:paraId="15427B19" w14:textId="22DED689" w:rsidR="00B84F09" w:rsidRDefault="00B84F09" w:rsidP="00CC6AE6">
      <w:pPr>
        <w:spacing w:before="80" w:after="80"/>
        <w:jc w:val="both"/>
      </w:pPr>
      <w:r>
        <w:rPr>
          <w:rFonts w:eastAsia="Calibri" w:cs="Calibri"/>
          <w:color w:val="333333"/>
          <w:szCs w:val="22"/>
        </w:rPr>
        <w:t>Sovereign AI hybrid architectures operate across three simultaneous tiers.</w:t>
      </w:r>
    </w:p>
    <w:p w14:paraId="24554F65" w14:textId="362006FC" w:rsidR="00F860AF" w:rsidRDefault="00097836" w:rsidP="004F0FA2">
      <w:r>
        <w:rPr>
          <w:noProof/>
        </w:rPr>
        <w:drawing>
          <wp:inline distT="0" distB="0" distL="0" distR="0" wp14:anchorId="13639490" wp14:editId="60AB0172">
            <wp:extent cx="5943600" cy="3343275"/>
            <wp:effectExtent l="0" t="0" r="0" b="9525"/>
            <wp:docPr id="25658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86247" name="Picture 256586247"/>
                    <pic:cNvPicPr/>
                  </pic:nvPicPr>
                  <pic:blipFill>
                    <a:blip r:embed="rId11">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CE4509E" w14:textId="428712A4" w:rsidR="00C000A4" w:rsidRDefault="00F860AF" w:rsidP="008C6E7C">
      <w:pPr>
        <w:pStyle w:val="ListParagraph"/>
        <w:numPr>
          <w:ilvl w:val="0"/>
          <w:numId w:val="37"/>
        </w:numPr>
      </w:pPr>
      <w:r>
        <w:rPr>
          <w:b/>
          <w:bCs/>
        </w:rPr>
        <w:t>Tier 1</w:t>
      </w:r>
      <w:r>
        <w:t xml:space="preserve"> runs the most sensitive workloads that include classified training data, strategic model weights, sovereign key management infrastructure on air-gapped or tightly controlled on-premises private cloud operated entirely by vetted internal staff with no external provider dependency. </w:t>
      </w:r>
    </w:p>
    <w:p w14:paraId="73333B28" w14:textId="77777777" w:rsidR="00C541F4" w:rsidRDefault="00C000A4" w:rsidP="008C6E7C">
      <w:pPr>
        <w:pStyle w:val="ListParagraph"/>
        <w:numPr>
          <w:ilvl w:val="0"/>
          <w:numId w:val="37"/>
        </w:numPr>
      </w:pPr>
      <w:r>
        <w:rPr>
          <w:b/>
          <w:bCs/>
        </w:rPr>
        <w:t>Tier 2</w:t>
      </w:r>
      <w:r>
        <w:t xml:space="preserve"> handles workloads that require more compute than on-premises infrastructure can sustain such as large training jobs, large-scale inference serving, development and test environments for sensitive models. On sovereign cloud infrastructure that meets the program's jurisdiction, personnel vetting, audit rights, and key management requirements, with encryption keys held in Tier 1 hardware security modules.</w:t>
      </w:r>
    </w:p>
    <w:p w14:paraId="0B51A07D" w14:textId="5A8F4FB0" w:rsidR="00992B14" w:rsidRDefault="00C541F4" w:rsidP="00A673ED">
      <w:pPr>
        <w:pStyle w:val="ListParagraph"/>
        <w:numPr>
          <w:ilvl w:val="0"/>
          <w:numId w:val="37"/>
        </w:numPr>
      </w:pPr>
      <w:r>
        <w:rPr>
          <w:b/>
          <w:bCs/>
        </w:rPr>
        <w:t>Tier 3</w:t>
      </w:r>
      <w:r>
        <w:t xml:space="preserve"> runs non-sensitive workloads such as open-source tooling, public dataset benchmarking, training on non-sensitive data on standard hyperscaler infrastructure, capturing full economies of scale without creating sovereignty exposure for sensitive assets.</w:t>
      </w:r>
    </w:p>
    <w:tbl>
      <w:tblPr>
        <w:tblStyle w:val="TableGrid"/>
        <w:tblW w:w="0" w:type="auto"/>
        <w:tblBorders>
          <w:top w:val="none" w:sz="0" w:space="0" w:color="auto"/>
          <w:left w:val="single" w:sz="24" w:space="0" w:color="C00000"/>
          <w:bottom w:val="none" w:sz="0" w:space="0" w:color="auto"/>
          <w:right w:val="none" w:sz="0" w:space="0" w:color="auto"/>
          <w:insideH w:val="none" w:sz="0" w:space="0" w:color="auto"/>
          <w:insideV w:val="none" w:sz="0" w:space="0" w:color="auto"/>
        </w:tblBorders>
        <w:shd w:val="clear" w:color="auto" w:fill="FFFF00"/>
        <w:tblCellMar>
          <w:top w:w="144" w:type="dxa"/>
          <w:left w:w="144" w:type="dxa"/>
          <w:bottom w:w="144" w:type="dxa"/>
          <w:right w:w="144" w:type="dxa"/>
        </w:tblCellMar>
        <w:tblLook w:val="04A0" w:firstRow="1" w:lastRow="0" w:firstColumn="1" w:lastColumn="0" w:noHBand="0" w:noVBand="1"/>
      </w:tblPr>
      <w:tblGrid>
        <w:gridCol w:w="9330"/>
      </w:tblGrid>
      <w:tr w:rsidR="00D0112E" w14:paraId="5A68FC69" w14:textId="77777777" w:rsidTr="00424247">
        <w:tc>
          <w:tcPr>
            <w:tcW w:w="0" w:type="auto"/>
            <w:shd w:val="clear" w:color="auto" w:fill="FFFF00"/>
          </w:tcPr>
          <w:p w14:paraId="34EE801A" w14:textId="7CA139FC" w:rsidR="00CE387F" w:rsidRPr="00A15BBB" w:rsidRDefault="00914ECA" w:rsidP="00256FB5">
            <w:pPr>
              <w:ind w:left="310"/>
              <w:rPr>
                <w:b/>
                <w:bCs/>
                <w:color w:val="C00000"/>
              </w:rPr>
            </w:pPr>
            <w:r w:rsidRPr="00914ECA">
              <w:rPr>
                <w:rFonts w:eastAsia="Calibri" w:cs="Calibri"/>
                <w:b/>
                <w:bCs/>
                <w:color w:val="C00000"/>
                <w:szCs w:val="22"/>
              </w:rPr>
              <w:t>⚠</w:t>
            </w:r>
            <w:r>
              <w:rPr>
                <w:rFonts w:eastAsia="Calibri" w:cs="Calibri"/>
                <w:b/>
                <w:bCs/>
                <w:color w:val="B45309"/>
                <w:szCs w:val="22"/>
              </w:rPr>
              <w:t xml:space="preserve"> </w:t>
            </w:r>
            <w:r w:rsidR="005A12E0">
              <w:rPr>
                <w:b/>
                <w:bCs/>
                <w:color w:val="C00000"/>
              </w:rPr>
              <w:t xml:space="preserve">Hybrid Cloud </w:t>
            </w:r>
            <w:r w:rsidR="00CE387F" w:rsidRPr="00A15BBB">
              <w:rPr>
                <w:b/>
                <w:bCs/>
                <w:color w:val="C00000"/>
              </w:rPr>
              <w:t>Governance Warning</w:t>
            </w:r>
          </w:p>
          <w:p w14:paraId="79F22B03" w14:textId="28826BD8" w:rsidR="00CE47AA" w:rsidRPr="00424247" w:rsidRDefault="00CE47AA" w:rsidP="00424247">
            <w:pPr>
              <w:ind w:left="310"/>
              <w:rPr>
                <w:rFonts w:eastAsia="Calibri" w:cs="Calibri"/>
                <w:sz w:val="20"/>
                <w:szCs w:val="20"/>
              </w:rPr>
            </w:pPr>
            <w:r w:rsidRPr="00256FB5">
              <w:rPr>
                <w:rFonts w:eastAsia="Calibri" w:cs="Calibri"/>
                <w:sz w:val="20"/>
                <w:szCs w:val="20"/>
              </w:rPr>
              <w:lastRenderedPageBreak/>
              <w:t>The technical architecture of a hybrid</w:t>
            </w:r>
            <w:r w:rsidR="00B11AF6" w:rsidRPr="00256FB5">
              <w:rPr>
                <w:rFonts w:eastAsia="Calibri" w:cs="Calibri"/>
                <w:sz w:val="20"/>
                <w:szCs w:val="20"/>
              </w:rPr>
              <w:t xml:space="preserve"> cloud</w:t>
            </w:r>
            <w:r w:rsidRPr="00256FB5">
              <w:rPr>
                <w:rFonts w:eastAsia="Calibri" w:cs="Calibri"/>
                <w:sz w:val="20"/>
                <w:szCs w:val="20"/>
              </w:rPr>
              <w:t xml:space="preserve"> deployment is straightforward. The hard part is maintaining rigorous data classification and enforcing that sensitive data never migrates to lower-assurance tiers. An organization that deploys hybrid architecture but allows classification discipline to erode has created a path for sensitive data to reach unsovereign infrastructure — not a hybrid sovereign posture.</w:t>
            </w:r>
          </w:p>
        </w:tc>
      </w:tr>
    </w:tbl>
    <w:p w14:paraId="2695A397" w14:textId="77777777" w:rsidR="00D0112E" w:rsidRDefault="00D0112E" w:rsidP="00A673ED"/>
    <w:p w14:paraId="64D0AAAB" w14:textId="6387BF07" w:rsidR="00516A92" w:rsidRDefault="004566C6" w:rsidP="003106EB">
      <w:pPr>
        <w:pStyle w:val="Heading3"/>
      </w:pPr>
      <w:bookmarkStart w:id="12" w:name="_Toc224031111"/>
      <w:r>
        <w:t>Hybrid Multi-Cloud</w:t>
      </w:r>
      <w:bookmarkEnd w:id="12"/>
    </w:p>
    <w:p w14:paraId="5EFE9304" w14:textId="419B6C5E" w:rsidR="005D5B5E" w:rsidRDefault="005D5B5E" w:rsidP="00CD3695">
      <w:pPr>
        <w:rPr>
          <w:rFonts w:eastAsia="Calibri" w:cs="Calibri"/>
          <w:color w:val="333333"/>
          <w:szCs w:val="22"/>
        </w:rPr>
      </w:pPr>
      <w:r>
        <w:rPr>
          <w:rFonts w:eastAsia="Calibri" w:cs="Calibri"/>
          <w:color w:val="333333"/>
          <w:szCs w:val="22"/>
        </w:rPr>
        <w:t>Hybrid Multi-Cloud is the reality for most enterprises</w:t>
      </w:r>
      <w:r w:rsidR="00A77964">
        <w:rPr>
          <w:rFonts w:eastAsia="Calibri" w:cs="Calibri"/>
          <w:color w:val="333333"/>
          <w:szCs w:val="22"/>
        </w:rPr>
        <w:t xml:space="preserve">, </w:t>
      </w:r>
      <w:r>
        <w:rPr>
          <w:rFonts w:eastAsia="Calibri" w:cs="Calibri"/>
          <w:color w:val="333333"/>
          <w:szCs w:val="22"/>
        </w:rPr>
        <w:t xml:space="preserve">not a planned architecture but an organic outcome of AWS adoption by business lines, Azure emergence through Office 365, and existing on-premises investments. </w:t>
      </w:r>
      <w:r w:rsidR="00CD3695">
        <w:t xml:space="preserve">Before you know it you have a Hybrid Multi-Cloud implementation </w:t>
      </w:r>
      <w:r w:rsidR="003B5BB1">
        <w:t xml:space="preserve">growing like weeds </w:t>
      </w:r>
      <w:r w:rsidR="00CD3695">
        <w:t xml:space="preserve">rather than planned. </w:t>
      </w:r>
      <w:r>
        <w:rPr>
          <w:rFonts w:eastAsia="Calibri" w:cs="Calibri"/>
          <w:color w:val="333333"/>
          <w:szCs w:val="22"/>
        </w:rPr>
        <w:t>The governance challenge scales with the number of clouds: every cloud in the estate must satisfy sovereignty requirements for workloads it touches, and complex workloads that span multiple clouds require explicit sovereignty analysis at each handoff point.</w:t>
      </w:r>
    </w:p>
    <w:p w14:paraId="5A3B89FE" w14:textId="67C29186" w:rsidR="0025335D" w:rsidRPr="0025335D" w:rsidRDefault="00C32E93" w:rsidP="003106EB">
      <w:pPr>
        <w:pStyle w:val="Heading3"/>
      </w:pPr>
      <w:bookmarkStart w:id="13" w:name="_Toc224031112"/>
      <w:r>
        <w:t>Scaling Tiers Across Geographies</w:t>
      </w:r>
      <w:bookmarkEnd w:id="13"/>
    </w:p>
    <w:p w14:paraId="29D2E10C" w14:textId="2E62237D" w:rsidR="0025335D" w:rsidRPr="0025335D" w:rsidRDefault="00F51BD1" w:rsidP="00151051">
      <w:r>
        <w:t xml:space="preserve">For multi-national corporations (MNCs) tiers are not monolithic. Each geo may require its own "instance" of the tier stack to meet local laws </w:t>
      </w:r>
      <w:r w:rsidR="00EF0FDB">
        <w:t>such as</w:t>
      </w:r>
      <w:r>
        <w:t xml:space="preserve"> GDPR in EU, PIPL in China, CCPA in US states</w:t>
      </w:r>
      <w:r w:rsidR="00494D04">
        <w:t>.</w:t>
      </w:r>
      <w:r>
        <w:t xml:space="preserve"> Things to consider include:</w:t>
      </w:r>
    </w:p>
    <w:p w14:paraId="00E896A5" w14:textId="77777777" w:rsidR="0025335D" w:rsidRPr="0025335D" w:rsidRDefault="0025335D" w:rsidP="008C6E7C">
      <w:pPr>
        <w:numPr>
          <w:ilvl w:val="0"/>
          <w:numId w:val="38"/>
        </w:numPr>
      </w:pPr>
      <w:r>
        <w:rPr>
          <w:b/>
          <w:bCs/>
        </w:rPr>
        <w:t>Geo-Specific Tier Replication</w:t>
      </w:r>
      <w:r>
        <w:t>: Duplicate core infrastructure (e.g., GPU clusters, MLOps pipelines) per region, but share non-sensitive elements (e.g., open-source code templates, standardized configs) via a central governance hub.</w:t>
      </w:r>
    </w:p>
    <w:p w14:paraId="75E7E4E5" w14:textId="77777777" w:rsidR="0025335D" w:rsidRPr="0025335D" w:rsidRDefault="0025335D" w:rsidP="008C6E7C">
      <w:pPr>
        <w:numPr>
          <w:ilvl w:val="0"/>
          <w:numId w:val="38"/>
        </w:numPr>
      </w:pPr>
      <w:r>
        <w:rPr>
          <w:b/>
          <w:bCs/>
        </w:rPr>
        <w:t>Cross-Geo Federation</w:t>
      </w:r>
      <w:r>
        <w:t>: Use federated learning or model aggregation to link regional tiers without data transfer (e.g., train locally in Tier 1 EU, aggregate anonymized gradients centrally in a neutral Tier 2 like Switzerland).</w:t>
      </w:r>
    </w:p>
    <w:p w14:paraId="5C4524CB" w14:textId="77777777" w:rsidR="0025335D" w:rsidRPr="0025335D" w:rsidRDefault="0025335D" w:rsidP="008C6E7C">
      <w:pPr>
        <w:numPr>
          <w:ilvl w:val="0"/>
          <w:numId w:val="38"/>
        </w:numPr>
      </w:pPr>
      <w:r>
        <w:rPr>
          <w:b/>
          <w:bCs/>
        </w:rPr>
        <w:t>Hybrid Global-Local</w:t>
      </w:r>
      <w:r>
        <w:t>: Centralize Tier 3 (public cloud) for shared, non-sensitive apps, but localize Tier 1/2 for sovereignty-critical workloads.</w:t>
      </w:r>
    </w:p>
    <w:p w14:paraId="7788A367" w14:textId="220D3E03" w:rsidR="0025335D" w:rsidRDefault="0025335D" w:rsidP="00941A16">
      <w:r>
        <w:t>Replication ensures compliance but drives up operations complexity such as multi-cluster Kubernetes management and costs potentially 2–5x infrastructure spend per geo.</w:t>
      </w:r>
    </w:p>
    <w:p w14:paraId="17D78C87" w14:textId="77777777" w:rsidR="0025335D" w:rsidRDefault="0025335D" w:rsidP="00AD594A"/>
    <w:p w14:paraId="0EA1B7E5" w14:textId="77777777" w:rsidR="0080095E" w:rsidRDefault="0080095E">
      <w:pPr>
        <w:rPr>
          <w:rFonts w:eastAsiaTheme="majorEastAsia" w:cstheme="majorBidi"/>
          <w:b/>
          <w:color w:val="0F4761" w:themeColor="accent1" w:themeShade="BF"/>
          <w:sz w:val="36"/>
          <w:szCs w:val="40"/>
        </w:rPr>
      </w:pPr>
      <w:r>
        <w:br w:type="page"/>
      </w:r>
    </w:p>
    <w:p w14:paraId="41DFACC8" w14:textId="0309161B" w:rsidR="00284908" w:rsidRPr="00810A46" w:rsidRDefault="00284908" w:rsidP="00284908">
      <w:pPr>
        <w:pStyle w:val="Heading1"/>
      </w:pPr>
      <w:bookmarkStart w:id="14" w:name="_Toc224031113"/>
      <w:r>
        <w:lastRenderedPageBreak/>
        <w:t>What is Sovereign AI</w:t>
      </w:r>
      <w:bookmarkEnd w:id="14"/>
    </w:p>
    <w:p w14:paraId="0B2601F1" w14:textId="77777777" w:rsidR="00AC1518" w:rsidRDefault="00AC1518" w:rsidP="00AC1518">
      <w:pPr>
        <w:spacing w:before="80" w:after="80"/>
        <w:jc w:val="both"/>
      </w:pPr>
      <w:r>
        <w:rPr>
          <w:rFonts w:eastAsia="Calibri" w:cs="Calibri"/>
          <w:color w:val="333333"/>
          <w:szCs w:val="22"/>
        </w:rPr>
        <w:t>Sovereign AI refers to a nation's or organization's capacity to develop, own, and control its own artificial intelligence infrastructure, data, and capabilities independent of foreign technology providers or geopolitical dependencies. It is the AI equivalent of energy independence: avoiding a position where critical capabilities are controlled or influenced by foreign corporations or governments.</w:t>
      </w:r>
    </w:p>
    <w:p w14:paraId="6D9E4765" w14:textId="3A12F0D7" w:rsidR="00B87868" w:rsidRDefault="0039723E" w:rsidP="00B87868">
      <w:r>
        <w:rPr>
          <w:noProof/>
        </w:rPr>
        <w:drawing>
          <wp:anchor distT="0" distB="0" distL="114300" distR="114300" simplePos="0" relativeHeight="251658240" behindDoc="0" locked="0" layoutInCell="1" allowOverlap="1" wp14:anchorId="7AFAD393" wp14:editId="1F0E6B57">
            <wp:simplePos x="0" y="0"/>
            <wp:positionH relativeFrom="column">
              <wp:posOffset>539750</wp:posOffset>
            </wp:positionH>
            <wp:positionV relativeFrom="paragraph">
              <wp:posOffset>734060</wp:posOffset>
            </wp:positionV>
            <wp:extent cx="4965192" cy="2788920"/>
            <wp:effectExtent l="0" t="0" r="6985" b="0"/>
            <wp:wrapTopAndBottom/>
            <wp:docPr id="141600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00944" name="Picture 14160009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5192" cy="2788920"/>
                    </a:xfrm>
                    <a:prstGeom prst="rect">
                      <a:avLst/>
                    </a:prstGeom>
                  </pic:spPr>
                </pic:pic>
              </a:graphicData>
            </a:graphic>
          </wp:anchor>
        </w:drawing>
      </w:r>
      <w:r w:rsidR="00B87868">
        <w:t xml:space="preserve">Sovereign Cloud is the </w:t>
      </w:r>
      <w:r w:rsidR="00B87868">
        <w:rPr>
          <w:b/>
          <w:bCs/>
        </w:rPr>
        <w:t>prerequisite infrastructure</w:t>
      </w:r>
      <w:r w:rsidR="00B87868">
        <w:t xml:space="preserve">. You cannot have Sovereign AI without first solving the cloud problem. Alternatively, geographically deployed </w:t>
      </w:r>
      <w:r w:rsidR="00B87868">
        <w:rPr>
          <w:b/>
          <w:bCs/>
        </w:rPr>
        <w:t>on-premise private cloud solutions</w:t>
      </w:r>
      <w:r w:rsidR="00B87868">
        <w:t xml:space="preserve"> </w:t>
      </w:r>
      <w:r w:rsidR="007854C4">
        <w:t>can serve the same function</w:t>
      </w:r>
      <w:r>
        <w:t xml:space="preserve"> </w:t>
      </w:r>
      <w:r w:rsidR="00B87868">
        <w:t xml:space="preserve">depending on </w:t>
      </w:r>
      <w:r>
        <w:t xml:space="preserve">the </w:t>
      </w:r>
      <w:r w:rsidR="00B87868">
        <w:t>scale required</w:t>
      </w:r>
      <w:r>
        <w:t>.</w:t>
      </w:r>
    </w:p>
    <w:p w14:paraId="6C0B2394" w14:textId="77777777" w:rsidR="008D0310" w:rsidRDefault="008D0310" w:rsidP="00B87868"/>
    <w:p w14:paraId="079B5A50" w14:textId="431B2E79" w:rsidR="00284908" w:rsidRDefault="00284908" w:rsidP="00284908">
      <w:pPr>
        <w:pStyle w:val="Heading2"/>
      </w:pPr>
      <w:bookmarkStart w:id="15" w:name="_Toc224031114"/>
      <w:r>
        <w:t>Core Pillars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9"/>
        <w:gridCol w:w="3420"/>
        <w:gridCol w:w="3869"/>
      </w:tblGrid>
      <w:tr w:rsidR="00AE3839" w14:paraId="395F623F" w14:textId="77777777" w:rsidTr="002E012F">
        <w:tc>
          <w:tcPr>
            <w:tcW w:w="206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349DFFC7" w14:textId="77777777" w:rsidR="00AE3839" w:rsidRDefault="00AE3839" w:rsidP="001D1A28">
            <w:r>
              <w:rPr>
                <w:rFonts w:eastAsia="Calibri" w:cs="Calibri"/>
                <w:b/>
                <w:bCs/>
                <w:color w:val="FFFFFF"/>
                <w:sz w:val="20"/>
                <w:szCs w:val="20"/>
              </w:rPr>
              <w:t>Pillar</w:t>
            </w:r>
          </w:p>
        </w:tc>
        <w:tc>
          <w:tcPr>
            <w:tcW w:w="3420"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2C6A380E" w14:textId="77777777" w:rsidR="00AE3839" w:rsidRDefault="00AE3839" w:rsidP="001D1A28">
            <w:r>
              <w:rPr>
                <w:rFonts w:eastAsia="Calibri" w:cs="Calibri"/>
                <w:b/>
                <w:bCs/>
                <w:color w:val="FFFFFF"/>
                <w:sz w:val="20"/>
                <w:szCs w:val="20"/>
              </w:rPr>
              <w:t>What It Means</w:t>
            </w:r>
          </w:p>
        </w:tc>
        <w:tc>
          <w:tcPr>
            <w:tcW w:w="386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01F544DC" w14:textId="77777777" w:rsidR="00AE3839" w:rsidRDefault="00AE3839" w:rsidP="001D1A28">
            <w:r>
              <w:rPr>
                <w:rFonts w:eastAsia="Calibri" w:cs="Calibri"/>
                <w:b/>
                <w:bCs/>
                <w:color w:val="FFFFFF"/>
                <w:sz w:val="20"/>
                <w:szCs w:val="20"/>
              </w:rPr>
              <w:t>Key Risk If Absent</w:t>
            </w:r>
          </w:p>
        </w:tc>
      </w:tr>
      <w:tr w:rsidR="00AE3839" w14:paraId="40A42F6D" w14:textId="77777777" w:rsidTr="002E012F">
        <w:tc>
          <w:tcPr>
            <w:tcW w:w="206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B48D8D1" w14:textId="77777777" w:rsidR="00AE3839" w:rsidRDefault="00AE3839" w:rsidP="001D1A28">
            <w:r>
              <w:rPr>
                <w:rFonts w:eastAsia="Calibri" w:cs="Calibri"/>
                <w:color w:val="333333"/>
                <w:sz w:val="20"/>
                <w:szCs w:val="20"/>
              </w:rPr>
              <w:t>Compute Infrastructure</w:t>
            </w:r>
          </w:p>
        </w:tc>
        <w:tc>
          <w:tcPr>
            <w:tcW w:w="342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4B290CF" w14:textId="1EF61B79" w:rsidR="00AE3839" w:rsidRDefault="00AE3839" w:rsidP="001D1A28">
            <w:r>
              <w:rPr>
                <w:rFonts w:eastAsia="Calibri" w:cs="Calibri"/>
                <w:color w:val="333333"/>
                <w:sz w:val="20"/>
                <w:szCs w:val="20"/>
              </w:rPr>
              <w:t xml:space="preserve">Owning or having domestic access to </w:t>
            </w:r>
            <w:r w:rsidR="00503174">
              <w:rPr>
                <w:rFonts w:eastAsia="Calibri" w:cs="Calibri"/>
                <w:color w:val="333333"/>
                <w:sz w:val="20"/>
                <w:szCs w:val="20"/>
              </w:rPr>
              <w:t xml:space="preserve">the hardware </w:t>
            </w:r>
            <w:r w:rsidR="001F2081">
              <w:rPr>
                <w:rFonts w:eastAsia="Calibri" w:cs="Calibri"/>
                <w:color w:val="333333"/>
                <w:sz w:val="20"/>
                <w:szCs w:val="20"/>
              </w:rPr>
              <w:t>running AI workloads. (</w:t>
            </w:r>
            <w:r w:rsidR="00AF5E26">
              <w:rPr>
                <w:rFonts w:eastAsia="Calibri" w:cs="Calibri"/>
                <w:color w:val="333333"/>
                <w:sz w:val="20"/>
                <w:szCs w:val="20"/>
              </w:rPr>
              <w:t xml:space="preserve">Servers, </w:t>
            </w:r>
            <w:r>
              <w:rPr>
                <w:rFonts w:eastAsia="Calibri" w:cs="Calibri"/>
                <w:color w:val="333333"/>
                <w:sz w:val="20"/>
                <w:szCs w:val="20"/>
              </w:rPr>
              <w:t>GPU clusters</w:t>
            </w:r>
            <w:r w:rsidR="001F2081">
              <w:rPr>
                <w:rFonts w:eastAsia="Calibri" w:cs="Calibri"/>
                <w:color w:val="333333"/>
                <w:sz w:val="20"/>
                <w:szCs w:val="20"/>
              </w:rPr>
              <w:t xml:space="preserve">, </w:t>
            </w:r>
            <w:r>
              <w:rPr>
                <w:rFonts w:eastAsia="Calibri" w:cs="Calibri"/>
                <w:color w:val="333333"/>
                <w:sz w:val="20"/>
                <w:szCs w:val="20"/>
              </w:rPr>
              <w:t>data centers</w:t>
            </w:r>
            <w:r w:rsidR="001F2081">
              <w:rPr>
                <w:rFonts w:eastAsia="Calibri" w:cs="Calibri"/>
                <w:color w:val="333333"/>
                <w:sz w:val="20"/>
                <w:szCs w:val="20"/>
              </w:rPr>
              <w:t>, etc.)</w:t>
            </w:r>
          </w:p>
        </w:tc>
        <w:tc>
          <w:tcPr>
            <w:tcW w:w="386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16A2898" w14:textId="313B05DC" w:rsidR="00AE3839" w:rsidRPr="00AF5E26" w:rsidRDefault="00AF5E26" w:rsidP="001D1A28">
            <w:pPr>
              <w:rPr>
                <w:szCs w:val="22"/>
              </w:rPr>
            </w:pPr>
            <w:r w:rsidRPr="00F27ECC">
              <w:rPr>
                <w:sz w:val="20"/>
                <w:szCs w:val="20"/>
              </w:rPr>
              <w:t>If your AI workloads run entirely on servers owned by a foreign company, that company (and by its government)</w:t>
            </w:r>
            <w:r w:rsidR="008E5F9D" w:rsidRPr="00F27ECC">
              <w:rPr>
                <w:sz w:val="20"/>
                <w:szCs w:val="20"/>
              </w:rPr>
              <w:t xml:space="preserve"> </w:t>
            </w:r>
            <w:r w:rsidR="00AE3839" w:rsidRPr="00F27ECC">
              <w:rPr>
                <w:rFonts w:eastAsia="Calibri" w:cs="Calibri"/>
                <w:color w:val="333333"/>
                <w:sz w:val="20"/>
                <w:szCs w:val="20"/>
              </w:rPr>
              <w:t>retains leverage and potential cutoff ability</w:t>
            </w:r>
            <w:r w:rsidR="00F27ECC" w:rsidRPr="00F27ECC">
              <w:rPr>
                <w:rFonts w:eastAsia="Calibri" w:cs="Calibri"/>
                <w:color w:val="333333"/>
                <w:sz w:val="20"/>
                <w:szCs w:val="20"/>
              </w:rPr>
              <w:t>.</w:t>
            </w:r>
          </w:p>
        </w:tc>
      </w:tr>
      <w:tr w:rsidR="00AE3839" w14:paraId="37AC1F0D" w14:textId="77777777" w:rsidTr="002E012F">
        <w:tc>
          <w:tcPr>
            <w:tcW w:w="206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5BC4B20" w14:textId="77777777" w:rsidR="00AE3839" w:rsidRDefault="00AE3839" w:rsidP="001D1A28">
            <w:r>
              <w:rPr>
                <w:rFonts w:eastAsia="Calibri" w:cs="Calibri"/>
                <w:color w:val="333333"/>
                <w:sz w:val="20"/>
                <w:szCs w:val="20"/>
              </w:rPr>
              <w:t>Data</w:t>
            </w:r>
          </w:p>
        </w:tc>
        <w:tc>
          <w:tcPr>
            <w:tcW w:w="342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39B055B" w14:textId="77777777" w:rsidR="00AE3839" w:rsidRDefault="00AE3839" w:rsidP="001D1A28">
            <w:r>
              <w:rPr>
                <w:rFonts w:eastAsia="Calibri" w:cs="Calibri"/>
                <w:color w:val="333333"/>
                <w:sz w:val="20"/>
                <w:szCs w:val="20"/>
              </w:rPr>
              <w:t>Sensitive data stored and processed only on domestic or contractually sovereign infrastructure</w:t>
            </w:r>
          </w:p>
        </w:tc>
        <w:tc>
          <w:tcPr>
            <w:tcW w:w="386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D296246" w14:textId="77777777" w:rsidR="00AE3839" w:rsidRDefault="00AE3839" w:rsidP="001D1A28">
            <w:r>
              <w:rPr>
                <w:rFonts w:eastAsia="Calibri" w:cs="Calibri"/>
                <w:color w:val="333333"/>
                <w:sz w:val="20"/>
                <w:szCs w:val="20"/>
              </w:rPr>
              <w:t>Data accessible to foreign subpoena, surveillance, or intellectual property extraction</w:t>
            </w:r>
          </w:p>
        </w:tc>
      </w:tr>
      <w:tr w:rsidR="00AE3839" w14:paraId="5D61B1E4" w14:textId="77777777" w:rsidTr="002E012F">
        <w:tc>
          <w:tcPr>
            <w:tcW w:w="206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13006DE" w14:textId="77777777" w:rsidR="00AE3839" w:rsidRDefault="00AE3839" w:rsidP="001D1A28">
            <w:r>
              <w:rPr>
                <w:rFonts w:eastAsia="Calibri" w:cs="Calibri"/>
                <w:color w:val="333333"/>
                <w:sz w:val="20"/>
                <w:szCs w:val="20"/>
              </w:rPr>
              <w:t>Models &amp; Algorithms</w:t>
            </w:r>
          </w:p>
        </w:tc>
        <w:tc>
          <w:tcPr>
            <w:tcW w:w="342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A8467FD" w14:textId="77777777" w:rsidR="00AE3839" w:rsidRDefault="00AE3839" w:rsidP="001D1A28">
            <w:r>
              <w:rPr>
                <w:rFonts w:eastAsia="Calibri" w:cs="Calibri"/>
                <w:color w:val="333333"/>
                <w:sz w:val="20"/>
                <w:szCs w:val="20"/>
              </w:rPr>
              <w:t>Developing or fine-tuning own foundation models rather than relying entirely on foreign providers</w:t>
            </w:r>
          </w:p>
        </w:tc>
        <w:tc>
          <w:tcPr>
            <w:tcW w:w="386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496199F" w14:textId="7FC649E3" w:rsidR="00AE3839" w:rsidRDefault="00AE3839" w:rsidP="001D1A28">
            <w:r>
              <w:rPr>
                <w:rFonts w:eastAsia="Calibri" w:cs="Calibri"/>
                <w:color w:val="333333"/>
                <w:sz w:val="20"/>
                <w:szCs w:val="20"/>
              </w:rPr>
              <w:t xml:space="preserve">Dependence on models that could be censored, modified, </w:t>
            </w:r>
            <w:r w:rsidR="00093E8E">
              <w:rPr>
                <w:rFonts w:eastAsia="Calibri" w:cs="Calibri"/>
                <w:color w:val="333333"/>
                <w:sz w:val="20"/>
                <w:szCs w:val="20"/>
              </w:rPr>
              <w:t xml:space="preserve">hidden bias, </w:t>
            </w:r>
            <w:r>
              <w:rPr>
                <w:rFonts w:eastAsia="Calibri" w:cs="Calibri"/>
                <w:color w:val="333333"/>
                <w:sz w:val="20"/>
                <w:szCs w:val="20"/>
              </w:rPr>
              <w:t>or discontinued by foreign actors</w:t>
            </w:r>
          </w:p>
        </w:tc>
      </w:tr>
      <w:tr w:rsidR="00AE3839" w14:paraId="7C948936" w14:textId="77777777" w:rsidTr="002E012F">
        <w:tc>
          <w:tcPr>
            <w:tcW w:w="206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7F25C76" w14:textId="77777777" w:rsidR="00AE3839" w:rsidRDefault="00AE3839" w:rsidP="001D1A28">
            <w:r>
              <w:rPr>
                <w:rFonts w:eastAsia="Calibri" w:cs="Calibri"/>
                <w:color w:val="333333"/>
                <w:sz w:val="20"/>
                <w:szCs w:val="20"/>
              </w:rPr>
              <w:lastRenderedPageBreak/>
              <w:t>Talent &amp; Expertise</w:t>
            </w:r>
          </w:p>
        </w:tc>
        <w:tc>
          <w:tcPr>
            <w:tcW w:w="342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7D1CC2B" w14:textId="77777777" w:rsidR="00AE3839" w:rsidRDefault="00AE3839" w:rsidP="001D1A28">
            <w:r>
              <w:rPr>
                <w:rFonts w:eastAsia="Calibri" w:cs="Calibri"/>
                <w:color w:val="333333"/>
                <w:sz w:val="20"/>
                <w:szCs w:val="20"/>
              </w:rPr>
              <w:t>Domestic workforce capable of building, auditing, and maintaining these systems</w:t>
            </w:r>
          </w:p>
        </w:tc>
        <w:tc>
          <w:tcPr>
            <w:tcW w:w="386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6927B64" w14:textId="77777777" w:rsidR="00AE3839" w:rsidRDefault="00AE3839" w:rsidP="001D1A28">
            <w:r>
              <w:rPr>
                <w:rFonts w:eastAsia="Calibri" w:cs="Calibri"/>
                <w:color w:val="333333"/>
                <w:sz w:val="20"/>
                <w:szCs w:val="20"/>
              </w:rPr>
              <w:t>All other pillars become notional without people who can operate them</w:t>
            </w:r>
          </w:p>
        </w:tc>
      </w:tr>
    </w:tbl>
    <w:p w14:paraId="086301D8" w14:textId="77777777" w:rsidR="00AE3839" w:rsidRDefault="00AE3839" w:rsidP="00AE3839"/>
    <w:p w14:paraId="43682E86" w14:textId="4450B0A0" w:rsidR="00284908" w:rsidRPr="00810A46" w:rsidRDefault="00284908" w:rsidP="00284908">
      <w:pPr>
        <w:pStyle w:val="Heading2"/>
      </w:pPr>
      <w:bookmarkStart w:id="16" w:name="_Toc224031115"/>
      <w:r>
        <w:t xml:space="preserve">Real-World </w:t>
      </w:r>
      <w:r w:rsidR="00CB51EE">
        <w:t>National Programs</w:t>
      </w:r>
      <w:bookmarkEnd w:id="16"/>
    </w:p>
    <w:p w14:paraId="78D9C17E" w14:textId="77777777" w:rsidR="00CB51EE" w:rsidRDefault="00CB51EE" w:rsidP="00CB51EE">
      <w:pPr>
        <w:spacing w:before="80" w:after="80"/>
        <w:jc w:val="both"/>
      </w:pPr>
      <w:r>
        <w:rPr>
          <w:rFonts w:eastAsia="Calibri" w:cs="Calibri"/>
          <w:color w:val="333333"/>
          <w:szCs w:val="22"/>
        </w:rPr>
        <w:t>Multiple nations have made explicit Sovereign AI investments. France built Mistral and secured domestic compute agreements. The UAE developed the Falcon model series and signed GPU infrastructure deals with NVIDIA. Saudi Arabia, India, and Japan have each launched national AI compute programs. The EU's AI Act and GDPR are partly expressions of sovereignty instinct codified in law. These programs share a common recognition: that AI capability is a strategic national asset that cannot be fully outsourced.</w:t>
      </w:r>
    </w:p>
    <w:p w14:paraId="7F75B348" w14:textId="5BFAA9AA" w:rsidR="00284908" w:rsidRPr="00810A46" w:rsidRDefault="009270A9" w:rsidP="00284908">
      <w:pPr>
        <w:pStyle w:val="Heading2"/>
      </w:pPr>
      <w:bookmarkStart w:id="17" w:name="_Toc224031116"/>
      <w:r>
        <w:t>Organizational Implications</w:t>
      </w:r>
      <w:bookmarkEnd w:id="17"/>
    </w:p>
    <w:p w14:paraId="097812DD" w14:textId="5EF9F3DC" w:rsidR="00E46772" w:rsidRDefault="001F3374" w:rsidP="00674684">
      <w:pPr>
        <w:spacing w:before="80" w:after="80"/>
        <w:jc w:val="both"/>
      </w:pPr>
      <w:r>
        <w:rPr>
          <w:rFonts w:eastAsia="Calibri" w:cs="Calibri"/>
          <w:color w:val="333333"/>
          <w:szCs w:val="22"/>
        </w:rPr>
        <w:t xml:space="preserve">Organizations that adopted cloud primarily for agility frequently accepted data risk without full assessment of data classification, sources, and jurisdictional exposure. Building sovereign AI requires revisiting those decisions. </w:t>
      </w:r>
      <w:r w:rsidR="000F4F1B">
        <w:rPr>
          <w:rFonts w:eastAsia="Calibri" w:cs="Calibri"/>
          <w:color w:val="333333"/>
          <w:szCs w:val="22"/>
        </w:rPr>
        <w:t xml:space="preserve">Training large models is extraordinarily expensive and requires supply chains that span multiple jurisdictions </w:t>
      </w:r>
      <w:r w:rsidR="00443582">
        <w:rPr>
          <w:rFonts w:eastAsia="Calibri" w:cs="Calibri"/>
          <w:color w:val="333333"/>
          <w:szCs w:val="22"/>
        </w:rPr>
        <w:t>with</w:t>
      </w:r>
      <w:r w:rsidR="000F4F1B">
        <w:rPr>
          <w:rFonts w:eastAsia="Calibri" w:cs="Calibri"/>
          <w:color w:val="333333"/>
          <w:szCs w:val="22"/>
        </w:rPr>
        <w:t xml:space="preserve"> any of </w:t>
      </w:r>
      <w:r w:rsidR="00B55071">
        <w:rPr>
          <w:rFonts w:eastAsia="Calibri" w:cs="Calibri"/>
          <w:color w:val="333333"/>
          <w:szCs w:val="22"/>
        </w:rPr>
        <w:t xml:space="preserve">them </w:t>
      </w:r>
      <w:r w:rsidR="000F4F1B">
        <w:rPr>
          <w:rFonts w:eastAsia="Calibri" w:cs="Calibri"/>
          <w:color w:val="333333"/>
          <w:szCs w:val="22"/>
        </w:rPr>
        <w:t>disrupted by regulatory changes, export controls, or geopolitical events.</w:t>
      </w:r>
      <w:r w:rsidR="00890C61">
        <w:rPr>
          <w:rFonts w:eastAsia="Calibri" w:cs="Calibri"/>
          <w:color w:val="333333"/>
          <w:szCs w:val="22"/>
        </w:rPr>
        <w:t xml:space="preserve"> Teaching an AI to forget</w:t>
      </w:r>
      <w:r w:rsidR="00674684">
        <w:rPr>
          <w:rFonts w:eastAsia="Calibri" w:cs="Calibri"/>
          <w:color w:val="333333"/>
          <w:szCs w:val="22"/>
        </w:rPr>
        <w:t xml:space="preserve"> may be a future necessary skill.</w:t>
      </w:r>
    </w:p>
    <w:p w14:paraId="63206408" w14:textId="398E3138" w:rsidR="002C0252" w:rsidRPr="00810A46" w:rsidRDefault="002C0252" w:rsidP="00284908">
      <w:r>
        <w:t xml:space="preserve">In the next section we dive deep into the data privacy and jurisdiction laws to be considered in a Sovereign AI strategy. </w:t>
      </w:r>
    </w:p>
    <w:p w14:paraId="336AA051" w14:textId="77777777" w:rsidR="0080095E" w:rsidRDefault="0080095E">
      <w:pPr>
        <w:rPr>
          <w:rFonts w:eastAsiaTheme="majorEastAsia" w:cstheme="majorBidi"/>
          <w:b/>
          <w:color w:val="0F4761" w:themeColor="accent1" w:themeShade="BF"/>
          <w:sz w:val="36"/>
          <w:szCs w:val="40"/>
        </w:rPr>
      </w:pPr>
      <w:bookmarkStart w:id="18" w:name="_Data_Privacy_Laws"/>
      <w:bookmarkEnd w:id="18"/>
      <w:r>
        <w:br w:type="page"/>
      </w:r>
    </w:p>
    <w:p w14:paraId="4385A70F" w14:textId="047FBC62" w:rsidR="00810B57" w:rsidRDefault="00EA7580" w:rsidP="00BF05B3">
      <w:pPr>
        <w:pStyle w:val="Heading1"/>
      </w:pPr>
      <w:bookmarkStart w:id="19" w:name="_Toc224031117"/>
      <w:r>
        <w:lastRenderedPageBreak/>
        <w:t>Data Privacy Laws</w:t>
      </w:r>
      <w:bookmarkEnd w:id="19"/>
    </w:p>
    <w:p w14:paraId="005FF1AC" w14:textId="7BC739CE" w:rsidR="004B4456" w:rsidRPr="004B4456" w:rsidRDefault="004B4456" w:rsidP="004B4456">
      <w:pPr>
        <w:spacing w:before="80" w:after="80"/>
        <w:jc w:val="both"/>
      </w:pPr>
      <w:r>
        <w:rPr>
          <w:rFonts w:eastAsia="Calibri" w:cs="Calibri"/>
          <w:color w:val="333333"/>
          <w:szCs w:val="22"/>
        </w:rPr>
        <w:t>Data privacy law is a primary driver of sovereign cloud adoption. Understanding the legal landscape is no longer optional for system architects — the systems you build will operate in this legal environment whether you design for it or not.</w:t>
      </w:r>
    </w:p>
    <w:p w14:paraId="311EBEAE" w14:textId="0AFD7F11" w:rsidR="00810A46" w:rsidRPr="00BF05B3" w:rsidRDefault="00A17D00" w:rsidP="00BF05B3">
      <w:pPr>
        <w:pStyle w:val="Heading2"/>
      </w:pPr>
      <w:bookmarkStart w:id="20" w:name="_Toc224031118"/>
      <w:r>
        <w:t>European Union (GDPR)</w:t>
      </w:r>
      <w:bookmarkEnd w:id="20"/>
    </w:p>
    <w:p w14:paraId="6C6194FA" w14:textId="63F4594F" w:rsidR="00810A46" w:rsidRPr="00810A46" w:rsidRDefault="00FB65EE" w:rsidP="00054FEB">
      <w:pPr>
        <w:spacing w:before="80" w:after="80"/>
        <w:jc w:val="both"/>
      </w:pPr>
      <w:r>
        <w:rPr>
          <w:rFonts w:eastAsia="Calibri" w:cs="Calibri"/>
          <w:color w:val="333333"/>
          <w:szCs w:val="22"/>
        </w:rPr>
        <w:t xml:space="preserve">The </w:t>
      </w:r>
      <w:r w:rsidRPr="00FB65EE">
        <w:rPr>
          <w:rFonts w:eastAsia="Calibri" w:cs="Calibri"/>
          <w:b/>
          <w:bCs/>
          <w:color w:val="333333"/>
          <w:szCs w:val="22"/>
        </w:rPr>
        <w:t>General Data Protection Regulation</w:t>
      </w:r>
      <w:r>
        <w:rPr>
          <w:rFonts w:eastAsia="Calibri" w:cs="Calibri"/>
          <w:color w:val="333333"/>
          <w:szCs w:val="22"/>
        </w:rPr>
        <w:t xml:space="preserve"> (</w:t>
      </w:r>
      <w:r w:rsidRPr="00FB65EE">
        <w:rPr>
          <w:rFonts w:eastAsia="Calibri" w:cs="Calibri"/>
          <w:b/>
          <w:bCs/>
          <w:color w:val="333333"/>
          <w:szCs w:val="22"/>
        </w:rPr>
        <w:t>GDPR</w:t>
      </w:r>
      <w:r>
        <w:rPr>
          <w:rFonts w:eastAsia="Calibri" w:cs="Calibri"/>
          <w:color w:val="333333"/>
          <w:szCs w:val="22"/>
        </w:rPr>
        <w:t>) came into force on May 25, 2018. It applies to any organization anywhere in the world that processes personal data of EU residents</w:t>
      </w:r>
      <w:r w:rsidR="00B25D51">
        <w:rPr>
          <w:rFonts w:eastAsia="Calibri" w:cs="Calibri"/>
          <w:color w:val="333333"/>
          <w:szCs w:val="22"/>
        </w:rPr>
        <w:t>. T</w:t>
      </w:r>
      <w:r>
        <w:rPr>
          <w:rFonts w:eastAsia="Calibri" w:cs="Calibri"/>
          <w:color w:val="333333"/>
          <w:szCs w:val="22"/>
        </w:rPr>
        <w:t>his extraterritorial reach is what made GDPR a global inflection point. GDPR requires a lawful basis for all data processing, data minimization, accuracy, limited retention, security, and accountability.</w:t>
      </w:r>
      <w:r w:rsidR="00750591" w:rsidRPr="00750591">
        <w:t xml:space="preserve"> </w:t>
      </w:r>
      <w:r w:rsidR="00750591">
        <w:t>Its primary purpose is to give individuals control over their personal data and to unify data protection laws across EU member states.</w:t>
      </w:r>
    </w:p>
    <w:p w14:paraId="769D273D" w14:textId="2DB0A1CB" w:rsidR="00810A46" w:rsidRPr="00810A46" w:rsidRDefault="00810A46" w:rsidP="00810A46">
      <w:r>
        <w:t xml:space="preserve">GDPR is built around a set of foundational principles that govern how personal data must be handled. Data must be collected for </w:t>
      </w:r>
      <w:r>
        <w:rPr>
          <w:b/>
          <w:bCs/>
        </w:rPr>
        <w:t>specified, explicit, and legitimate purposes</w:t>
      </w:r>
      <w:r>
        <w:t xml:space="preserve"> and not used beyond those purposes. Only the </w:t>
      </w:r>
      <w:r>
        <w:rPr>
          <w:b/>
          <w:bCs/>
        </w:rPr>
        <w:t>minimum necessary data</w:t>
      </w:r>
      <w:r>
        <w:t xml:space="preserve"> should be collected which is called data minimization. Data must be kept </w:t>
      </w:r>
      <w:r>
        <w:rPr>
          <w:b/>
          <w:bCs/>
        </w:rPr>
        <w:t>accurate and up to date</w:t>
      </w:r>
      <w:r>
        <w:t xml:space="preserve">. It must not be retained longer than necessary </w:t>
      </w:r>
      <w:r>
        <w:rPr>
          <w:b/>
          <w:bCs/>
        </w:rPr>
        <w:t>a</w:t>
      </w:r>
      <w:r>
        <w:t xml:space="preserve">nd it must be processed with appropriate </w:t>
      </w:r>
      <w:r>
        <w:rPr>
          <w:b/>
          <w:bCs/>
        </w:rPr>
        <w:t>security and confidentiality</w:t>
      </w:r>
      <w:r>
        <w:t>.</w:t>
      </w:r>
    </w:p>
    <w:p w14:paraId="05F74913" w14:textId="77777777" w:rsidR="00810A46" w:rsidRPr="00810A46" w:rsidRDefault="00810A46" w:rsidP="00BF05B3">
      <w:pPr>
        <w:pStyle w:val="Heading3"/>
      </w:pPr>
      <w:bookmarkStart w:id="21" w:name="_Toc224031119"/>
      <w:r>
        <w:t>Key Rights Granted to Individuals</w:t>
      </w:r>
      <w:bookmarkEnd w:id="21"/>
    </w:p>
    <w:p w14:paraId="6111F6EB" w14:textId="77777777" w:rsidR="002C32FE" w:rsidRDefault="00810A46" w:rsidP="008C6E7C">
      <w:pPr>
        <w:pStyle w:val="ListParagraph"/>
        <w:numPr>
          <w:ilvl w:val="0"/>
          <w:numId w:val="8"/>
        </w:numPr>
      </w:pPr>
      <w:r>
        <w:rPr>
          <w:b/>
          <w:bCs/>
        </w:rPr>
        <w:t>Right to Access</w:t>
      </w:r>
      <w:r>
        <w:t xml:space="preserve"> means a user can request a full export of all personal data you hold on them. This means your systems need to be able to query and compile that data on demand.</w:t>
      </w:r>
    </w:p>
    <w:p w14:paraId="13CC2F39" w14:textId="77777777" w:rsidR="002C32FE" w:rsidRDefault="00810A46" w:rsidP="008C6E7C">
      <w:pPr>
        <w:pStyle w:val="ListParagraph"/>
        <w:numPr>
          <w:ilvl w:val="0"/>
          <w:numId w:val="8"/>
        </w:numPr>
      </w:pPr>
      <w:r>
        <w:rPr>
          <w:b/>
          <w:bCs/>
        </w:rPr>
        <w:t>Right to Erasure</w:t>
      </w:r>
      <w:r>
        <w:t xml:space="preserve"> (popularly called the "right to be forgotten") means a user can demand their data be deleted. This is surprisingly hard when data is replicated across databases, backups, caches, and third-party services.</w:t>
      </w:r>
    </w:p>
    <w:p w14:paraId="3E563801" w14:textId="77777777" w:rsidR="002C32FE" w:rsidRDefault="00810A46" w:rsidP="008C6E7C">
      <w:pPr>
        <w:pStyle w:val="ListParagraph"/>
        <w:numPr>
          <w:ilvl w:val="0"/>
          <w:numId w:val="8"/>
        </w:numPr>
      </w:pPr>
      <w:r>
        <w:rPr>
          <w:b/>
          <w:bCs/>
        </w:rPr>
        <w:t>Right to Portability</w:t>
      </w:r>
      <w:r>
        <w:t xml:space="preserve"> means data must be exportable in a machine-readable format.</w:t>
      </w:r>
    </w:p>
    <w:p w14:paraId="2D1C23D2" w14:textId="77777777" w:rsidR="002C32FE" w:rsidRDefault="00810A46" w:rsidP="008C6E7C">
      <w:pPr>
        <w:pStyle w:val="ListParagraph"/>
        <w:numPr>
          <w:ilvl w:val="0"/>
          <w:numId w:val="8"/>
        </w:numPr>
      </w:pPr>
      <w:r>
        <w:rPr>
          <w:b/>
          <w:bCs/>
        </w:rPr>
        <w:t>Right to Object</w:t>
      </w:r>
      <w:r>
        <w:t xml:space="preserve"> allows users to opt out of certain types of processing, including profiling and direct marketing. </w:t>
      </w:r>
    </w:p>
    <w:p w14:paraId="72E4A6F2" w14:textId="7BD71F51" w:rsidR="00810A46" w:rsidRPr="00810A46" w:rsidRDefault="00810A46" w:rsidP="008C6E7C">
      <w:pPr>
        <w:pStyle w:val="ListParagraph"/>
        <w:numPr>
          <w:ilvl w:val="0"/>
          <w:numId w:val="8"/>
        </w:numPr>
      </w:pPr>
      <w:r>
        <w:rPr>
          <w:b/>
          <w:bCs/>
        </w:rPr>
        <w:t>Rights around Automated Decision-Making</w:t>
      </w:r>
      <w:r>
        <w:t xml:space="preserve"> mean that individuals cannot be subjected to purely algorithmic decisions with significant effects on them without human review being available.</w:t>
      </w:r>
    </w:p>
    <w:p w14:paraId="48E5896D" w14:textId="77D70474" w:rsidR="00810A46" w:rsidRPr="00810A46" w:rsidRDefault="00460BA6" w:rsidP="00EA148B">
      <w:pPr>
        <w:pStyle w:val="Heading3"/>
      </w:pPr>
      <w:bookmarkStart w:id="22" w:name="_Toc224031120"/>
      <w:r>
        <w:t>Key Engineering Requirements</w:t>
      </w:r>
      <w:bookmarkEnd w:id="22"/>
    </w:p>
    <w:p w14:paraId="28D5E9A6" w14:textId="0B2DD2C4" w:rsidR="00810A46" w:rsidRPr="00810A46" w:rsidRDefault="00810A46" w:rsidP="00810A46">
      <w:r>
        <w:t>GDPR is not just a legal checkbox. It fundamentally shapes system architecture.</w:t>
      </w:r>
    </w:p>
    <w:p w14:paraId="2CE13659" w14:textId="2041677E" w:rsidR="00230EF3" w:rsidRDefault="00810A46" w:rsidP="005A53AC">
      <w:pPr>
        <w:pStyle w:val="ListParagraph"/>
        <w:numPr>
          <w:ilvl w:val="0"/>
          <w:numId w:val="5"/>
        </w:numPr>
      </w:pPr>
      <w:r>
        <w:rPr>
          <w:b/>
          <w:bCs/>
        </w:rPr>
        <w:t>Consent management</w:t>
      </w:r>
      <w:r>
        <w:t xml:space="preserve"> must be built into </w:t>
      </w:r>
      <w:r w:rsidR="009D6C74">
        <w:t>the design</w:t>
      </w:r>
      <w:r>
        <w:t xml:space="preserve"> from the start, not bolted on afterward. The EU's interpretation is strict with pre-ticked boxes, bundled consent, and vague language are all non-compliant.</w:t>
      </w:r>
    </w:p>
    <w:p w14:paraId="3A1F6DB9" w14:textId="671512B4" w:rsidR="00230EF3" w:rsidRPr="00230EF3" w:rsidRDefault="00810A46" w:rsidP="005A53AC">
      <w:pPr>
        <w:pStyle w:val="ListParagraph"/>
        <w:numPr>
          <w:ilvl w:val="0"/>
          <w:numId w:val="5"/>
        </w:numPr>
      </w:pPr>
      <w:r>
        <w:rPr>
          <w:b/>
          <w:bCs/>
        </w:rPr>
        <w:t>Data mapping</w:t>
      </w:r>
      <w:r>
        <w:t xml:space="preserve"> becomes a first-class engineering concern: you need to know exactly what personal data you collect, where it lives, how it flows through your system, and who has access to it.</w:t>
      </w:r>
    </w:p>
    <w:p w14:paraId="26568A75" w14:textId="6B688E67" w:rsidR="00230EF3" w:rsidRPr="00230EF3" w:rsidRDefault="00810A46" w:rsidP="005A53AC">
      <w:pPr>
        <w:pStyle w:val="ListParagraph"/>
        <w:numPr>
          <w:ilvl w:val="0"/>
          <w:numId w:val="5"/>
        </w:numPr>
      </w:pPr>
      <w:r>
        <w:rPr>
          <w:b/>
          <w:bCs/>
        </w:rPr>
        <w:t>Privacy by Design</w:t>
      </w:r>
      <w:r>
        <w:t xml:space="preserve"> is actually a GDPR requirement. This means privacy protections must be incorporated into systems from the design phase, not added retroactively. </w:t>
      </w:r>
    </w:p>
    <w:p w14:paraId="317150FC" w14:textId="62C12287" w:rsidR="00810A46" w:rsidRDefault="00AC5D9D" w:rsidP="008C6E7C">
      <w:pPr>
        <w:pStyle w:val="ListParagraph"/>
        <w:numPr>
          <w:ilvl w:val="0"/>
          <w:numId w:val="5"/>
        </w:numPr>
      </w:pPr>
      <w:r>
        <w:rPr>
          <w:b/>
          <w:bCs/>
        </w:rPr>
        <w:lastRenderedPageBreak/>
        <w:t>Breach notification</w:t>
      </w:r>
      <w:r>
        <w:t xml:space="preserve"> requirements mean that if you suffer a data breach, you have 72 hours to notify the relevant supervisory authority — which demands mature incident response infrastructure.</w:t>
      </w:r>
    </w:p>
    <w:p w14:paraId="1D0845CD" w14:textId="337BC9B6" w:rsidR="007C05FE" w:rsidRPr="00810A46" w:rsidRDefault="007C05FE" w:rsidP="007C05FE">
      <w:pPr>
        <w:pStyle w:val="ListParagraph"/>
        <w:numPr>
          <w:ilvl w:val="0"/>
          <w:numId w:val="5"/>
        </w:numPr>
        <w:spacing w:before="60" w:after="60" w:line="240" w:lineRule="auto"/>
        <w:contextualSpacing w:val="0"/>
      </w:pPr>
      <w:r>
        <w:rPr>
          <w:rFonts w:eastAsia="Calibri" w:cs="Calibri"/>
          <w:b/>
          <w:bCs/>
          <w:color w:val="0D1F3C"/>
          <w:szCs w:val="22"/>
        </w:rPr>
        <w:t>Machine unlearning</w:t>
      </w:r>
      <w:r w:rsidR="00891407">
        <w:rPr>
          <w:rFonts w:eastAsia="Calibri" w:cs="Calibri"/>
          <w:b/>
          <w:bCs/>
          <w:color w:val="0D1F3C"/>
          <w:szCs w:val="22"/>
        </w:rPr>
        <w:t xml:space="preserve">. </w:t>
      </w:r>
      <w:r w:rsidR="00891407">
        <w:rPr>
          <w:rFonts w:eastAsia="Calibri" w:cs="Calibri"/>
          <w:color w:val="333333"/>
          <w:szCs w:val="22"/>
        </w:rPr>
        <w:t xml:space="preserve">If </w:t>
      </w:r>
      <w:r>
        <w:rPr>
          <w:rFonts w:eastAsia="Calibri" w:cs="Calibri"/>
          <w:color w:val="333333"/>
          <w:szCs w:val="22"/>
        </w:rPr>
        <w:t>a model was trained on personal data, erasure requests create an open and unresolved research problem</w:t>
      </w:r>
    </w:p>
    <w:p w14:paraId="633C988E" w14:textId="7A498EC3" w:rsidR="00810A46" w:rsidRPr="00810A46" w:rsidRDefault="00810A46" w:rsidP="00EA148B">
      <w:pPr>
        <w:pStyle w:val="Heading3"/>
      </w:pPr>
      <w:bookmarkStart w:id="23" w:name="_Toc224031121"/>
      <w:r>
        <w:t>Penalties</w:t>
      </w:r>
      <w:bookmarkEnd w:id="23"/>
    </w:p>
    <w:p w14:paraId="26B56497" w14:textId="7C480431" w:rsidR="00810A46" w:rsidRDefault="00810A46" w:rsidP="00810A46">
      <w:r>
        <w:t xml:space="preserve">Fines come in two tiers. Less severe violations can result in fines up to </w:t>
      </w:r>
      <w:r>
        <w:rPr>
          <w:b/>
          <w:bCs/>
        </w:rPr>
        <w:t>€10 million or 2% of global annual revenue</w:t>
      </w:r>
      <w:r>
        <w:t xml:space="preserve">, whichever is higher. The most serious violations such as unlawful processing of data or violations of core principles can result in fines up to </w:t>
      </w:r>
      <w:r>
        <w:rPr>
          <w:b/>
          <w:bCs/>
        </w:rPr>
        <w:t>€20 million or 4% of global annual revenue</w:t>
      </w:r>
      <w:r>
        <w:t>. Meta has been fined over €1.2 billion under GDPR. Amazon was fined €746 million. These are not hypothetical risks.</w:t>
      </w:r>
    </w:p>
    <w:p w14:paraId="5A04E3CA" w14:textId="77777777" w:rsidR="002142DC" w:rsidRDefault="002142DC" w:rsidP="002142DC">
      <w:pPr>
        <w:pStyle w:val="Heading2"/>
      </w:pPr>
      <w:bookmarkStart w:id="24" w:name="_Toc224031122"/>
      <w:r>
        <w:t>United States</w:t>
      </w:r>
      <w:bookmarkEnd w:id="24"/>
    </w:p>
    <w:p w14:paraId="08A3A0DE" w14:textId="77777777" w:rsidR="002142DC" w:rsidRPr="00810A46" w:rsidRDefault="002142DC" w:rsidP="002142DC">
      <w:pPr>
        <w:rPr>
          <w:b/>
          <w:bCs/>
        </w:rPr>
      </w:pPr>
      <w:r>
        <w:t xml:space="preserve">The United States has </w:t>
      </w:r>
      <w:r>
        <w:rPr>
          <w:b/>
          <w:bCs/>
        </w:rPr>
        <w:t>no single federal equivalent to GDPR</w:t>
      </w:r>
      <w:r>
        <w:t xml:space="preserve">. This is deliberate, not an oversight. Where the EU treats privacy as a </w:t>
      </w:r>
      <w:r>
        <w:rPr>
          <w:b/>
          <w:bCs/>
        </w:rPr>
        <w:t>fundamental human right</w:t>
      </w:r>
      <w:r>
        <w:t xml:space="preserve"> enshrined in law, the US has traditionally treated privacy as a </w:t>
      </w:r>
      <w:r>
        <w:rPr>
          <w:b/>
          <w:bCs/>
        </w:rPr>
        <w:t>consumer protection and market issue</w:t>
      </w:r>
      <w:r>
        <w:t>, relying on a combination of sectoral laws, self-regulation, and market forces.</w:t>
      </w:r>
    </w:p>
    <w:p w14:paraId="085F0805" w14:textId="77777777" w:rsidR="002142DC" w:rsidRPr="00810A46" w:rsidRDefault="002142DC" w:rsidP="002142DC">
      <w:pPr>
        <w:pStyle w:val="Heading3"/>
      </w:pPr>
      <w:bookmarkStart w:id="25" w:name="_Toc224031123"/>
      <w:r>
        <w:t>The US Sectoral Approach</w:t>
      </w:r>
      <w:bookmarkEnd w:id="25"/>
    </w:p>
    <w:p w14:paraId="40C3511A" w14:textId="77777777" w:rsidR="002142DC" w:rsidRPr="00810A46" w:rsidRDefault="002142DC" w:rsidP="002142DC">
      <w:r>
        <w:t>Rather than one comprehensive law, the US has built a patchwork of narrow, industry-specific laws over decades.</w:t>
      </w:r>
    </w:p>
    <w:p w14:paraId="200B2F82" w14:textId="3B017477" w:rsidR="002142DC" w:rsidRPr="00810A46" w:rsidRDefault="002142DC" w:rsidP="008C6E7C">
      <w:pPr>
        <w:pStyle w:val="ListParagraph"/>
        <w:numPr>
          <w:ilvl w:val="0"/>
          <w:numId w:val="3"/>
        </w:numPr>
      </w:pPr>
      <w:r>
        <w:rPr>
          <w:b/>
          <w:bCs/>
        </w:rPr>
        <w:t>HIPAA</w:t>
      </w:r>
      <w:r>
        <w:t xml:space="preserve"> (Health Insurance Portability and Accountability Act, 1996) covers personal health information held by healthcare providers, insurers, and their business associates. It is serious and well-enforced but only applies to health data in specific contexts.</w:t>
      </w:r>
    </w:p>
    <w:p w14:paraId="682A58A1" w14:textId="77777777" w:rsidR="002142DC" w:rsidRPr="00810A46" w:rsidRDefault="002142DC" w:rsidP="008C6E7C">
      <w:pPr>
        <w:pStyle w:val="ListParagraph"/>
        <w:numPr>
          <w:ilvl w:val="0"/>
          <w:numId w:val="3"/>
        </w:numPr>
      </w:pPr>
      <w:r>
        <w:rPr>
          <w:b/>
          <w:bCs/>
        </w:rPr>
        <w:t>FERPA</w:t>
      </w:r>
      <w:r>
        <w:t xml:space="preserve"> (Family Educational Rights and Privacy Act, 1974) protects student educational records. Notably one of the oldest US privacy laws.</w:t>
      </w:r>
    </w:p>
    <w:p w14:paraId="3B97007D" w14:textId="351B7CEE" w:rsidR="002142DC" w:rsidRPr="00810A46" w:rsidRDefault="002142DC" w:rsidP="008C6E7C">
      <w:pPr>
        <w:pStyle w:val="ListParagraph"/>
        <w:numPr>
          <w:ilvl w:val="0"/>
          <w:numId w:val="3"/>
        </w:numPr>
      </w:pPr>
      <w:r>
        <w:rPr>
          <w:b/>
          <w:bCs/>
        </w:rPr>
        <w:t>COPPA</w:t>
      </w:r>
      <w:r>
        <w:t xml:space="preserve"> (Children's Online Privacy Protection Act, 1998) restricts collection of personal data from children under thirteen online. This is why every app asks for your birthdate.</w:t>
      </w:r>
    </w:p>
    <w:p w14:paraId="2AFA99BF" w14:textId="77777777" w:rsidR="002142DC" w:rsidRPr="00810A46" w:rsidRDefault="002142DC" w:rsidP="008C6E7C">
      <w:pPr>
        <w:pStyle w:val="ListParagraph"/>
        <w:numPr>
          <w:ilvl w:val="0"/>
          <w:numId w:val="3"/>
        </w:numPr>
      </w:pPr>
      <w:r>
        <w:rPr>
          <w:b/>
          <w:bCs/>
        </w:rPr>
        <w:t>GLBA</w:t>
      </w:r>
      <w:r>
        <w:t xml:space="preserve"> (Gramm-Leach-Bliley Act, 1999) covers financial institutions and their handling of customer financial data.</w:t>
      </w:r>
    </w:p>
    <w:p w14:paraId="6AE90229" w14:textId="77777777" w:rsidR="002142DC" w:rsidRPr="00810A46" w:rsidRDefault="002142DC" w:rsidP="008C6E7C">
      <w:pPr>
        <w:pStyle w:val="ListParagraph"/>
        <w:numPr>
          <w:ilvl w:val="0"/>
          <w:numId w:val="3"/>
        </w:numPr>
      </w:pPr>
      <w:r>
        <w:rPr>
          <w:b/>
          <w:bCs/>
        </w:rPr>
        <w:t>FCRA</w:t>
      </w:r>
      <w:r>
        <w:t xml:space="preserve"> (Fair Credit Reporting Act) governs how credit reporting agencies collect and use consumer data.</w:t>
      </w:r>
    </w:p>
    <w:p w14:paraId="0804CD91" w14:textId="52BA8BE7" w:rsidR="002142DC" w:rsidRDefault="002142DC" w:rsidP="002142DC">
      <w:r>
        <w:t>The problem with this approach is enormous amounts of personal data fall between the cracks of these narrow categories. Your browsing history, location data, social media activity, and purchasing behavior are largely unprotected at the federal level.</w:t>
      </w:r>
    </w:p>
    <w:p w14:paraId="291F8E67" w14:textId="3AA6DD29" w:rsidR="004F5C63" w:rsidRPr="00810A46" w:rsidRDefault="004F5C63" w:rsidP="002142DC">
      <w:r>
        <w:rPr>
          <w:rFonts w:eastAsia="Calibri" w:cs="Calibri"/>
          <w:color w:val="333333"/>
          <w:szCs w:val="22"/>
        </w:rPr>
        <w:t xml:space="preserve">The FTC serves as a de facto national privacy enforcement body using Section 5 authority prohibiting unfair or deceptive trade practices. Facebook's $5 billion FTC fine in 2019 was the largest in the agency's history. California's CCPA/CPRA, the most significant state law, has effectively functioned as a soft </w:t>
      </w:r>
      <w:r>
        <w:rPr>
          <w:rFonts w:eastAsia="Calibri" w:cs="Calibri"/>
          <w:color w:val="333333"/>
          <w:szCs w:val="22"/>
        </w:rPr>
        <w:lastRenderedPageBreak/>
        <w:t>national standard. The American Data Privacy and Protection Act (ADPPA) has not been enacted as of this writing</w:t>
      </w:r>
    </w:p>
    <w:p w14:paraId="44B13988" w14:textId="77361024" w:rsidR="002142DC" w:rsidRPr="002F095C" w:rsidRDefault="002142DC" w:rsidP="002142DC">
      <w:pPr>
        <w:pStyle w:val="Heading3"/>
      </w:pPr>
      <w:bookmarkStart w:id="26" w:name="_Toc224031124"/>
      <w:r>
        <w:t>The State Law Patchwork</w:t>
      </w:r>
      <w:bookmarkEnd w:id="26"/>
    </w:p>
    <w:p w14:paraId="5DF8F4F7" w14:textId="2EECE36D" w:rsidR="002142DC" w:rsidRPr="00810A46" w:rsidRDefault="002142DC" w:rsidP="002142DC">
      <w:r>
        <w:t>Because federal law has been slow to act, states have stepped in creating exactly the kind of fragmented compliance nightmare that GDPR was designed to avoid within Europe.</w:t>
      </w:r>
    </w:p>
    <w:p w14:paraId="32DA8A6A" w14:textId="77777777" w:rsidR="002142DC" w:rsidRPr="00810A46" w:rsidRDefault="002142DC" w:rsidP="008C6E7C">
      <w:pPr>
        <w:pStyle w:val="ListParagraph"/>
        <w:numPr>
          <w:ilvl w:val="0"/>
          <w:numId w:val="4"/>
        </w:numPr>
      </w:pPr>
      <w:r>
        <w:rPr>
          <w:b/>
          <w:bCs/>
        </w:rPr>
        <w:t>California's CCPA/CPRA</w:t>
      </w:r>
      <w:r>
        <w:t xml:space="preserve"> is the most significant. The </w:t>
      </w:r>
      <w:r>
        <w:rPr>
          <w:b/>
          <w:bCs/>
        </w:rPr>
        <w:t>California Consumer Privacy Act (2020)</w:t>
      </w:r>
      <w:r>
        <w:t xml:space="preserve">, strengthened by the </w:t>
      </w:r>
      <w:r>
        <w:rPr>
          <w:b/>
          <w:bCs/>
        </w:rPr>
        <w:t>California Privacy Rights Act (2023)</w:t>
      </w:r>
      <w:r>
        <w:t xml:space="preserve">, gives California residents rights to know what data is collected, opt out of data sales, request deletion, and correct inaccurate data. It established the </w:t>
      </w:r>
      <w:r>
        <w:rPr>
          <w:b/>
          <w:bCs/>
        </w:rPr>
        <w:t>California Privacy Protection Agency (CPPA)</w:t>
      </w:r>
      <w:r>
        <w:t>, the first dedicated state privacy regulator in the US. Because California is the world's fifth largest economy and home to most major tech companies, CCPA has effectively functioned as a soft national standard — many companies simply apply California rules to all US users rather than building state-by-state compliance systems.</w:t>
      </w:r>
    </w:p>
    <w:p w14:paraId="04FCC074" w14:textId="112718EB" w:rsidR="002142DC" w:rsidRPr="00810A46" w:rsidRDefault="002142DC" w:rsidP="008C6E7C">
      <w:pPr>
        <w:pStyle w:val="ListParagraph"/>
        <w:numPr>
          <w:ilvl w:val="0"/>
          <w:numId w:val="4"/>
        </w:numPr>
      </w:pPr>
      <w:r>
        <w:rPr>
          <w:b/>
          <w:bCs/>
        </w:rPr>
        <w:t>Virginia's CDPA</w:t>
      </w:r>
      <w:r>
        <w:t xml:space="preserve">, </w:t>
      </w:r>
      <w:r>
        <w:rPr>
          <w:b/>
          <w:bCs/>
        </w:rPr>
        <w:t>Colorado's CPA</w:t>
      </w:r>
      <w:r>
        <w:t xml:space="preserve">, </w:t>
      </w:r>
      <w:r>
        <w:rPr>
          <w:b/>
          <w:bCs/>
        </w:rPr>
        <w:t>Texas's TDPSA</w:t>
      </w:r>
      <w:r>
        <w:t xml:space="preserve">, </w:t>
      </w:r>
      <w:r>
        <w:rPr>
          <w:b/>
          <w:bCs/>
        </w:rPr>
        <w:t>Connecticut's CTDPA</w:t>
      </w:r>
      <w:r>
        <w:t>, and laws in over a dozen other states have followed, each with meaningful variations in scope, rights, and enforcement mechanisms. As of today, navigating US privacy law means dealing with potentially fifty different state regimes alongside federal sectoral laws creating a compliance burden that ironically tends to favor large companies with legal teams over startups.</w:t>
      </w:r>
    </w:p>
    <w:p w14:paraId="6F6FE19A" w14:textId="77777777" w:rsidR="002142DC" w:rsidRPr="00810A46" w:rsidRDefault="002142DC" w:rsidP="002142DC">
      <w:pPr>
        <w:pStyle w:val="Heading3"/>
      </w:pPr>
      <w:bookmarkStart w:id="27" w:name="_Toc224031125"/>
      <w:r>
        <w:t>The American Data Privacy and Protection Act (ADPPA)</w:t>
      </w:r>
      <w:bookmarkEnd w:id="27"/>
    </w:p>
    <w:p w14:paraId="322ECB61" w14:textId="222B76B1" w:rsidR="002142DC" w:rsidRPr="00810A46" w:rsidRDefault="002142DC" w:rsidP="002142DC">
      <w:r>
        <w:t xml:space="preserve">The closest the US has come is the </w:t>
      </w:r>
      <w:r>
        <w:rPr>
          <w:b/>
          <w:bCs/>
        </w:rPr>
        <w:t>ADPPA</w:t>
      </w:r>
      <w:r>
        <w:t>, a bipartisan bill that gained serious momentum in 2022. It would have created a national framework with individual rights similar to GDPR, preempted most state laws, and included a limited private right of action. It passed committee with strong bipartisan support but stalled in the full Congress, largely due to California's objection to preemption of the CCPA. As of now it has not been enacted, though versions of it continue to be reintroduced.</w:t>
      </w:r>
    </w:p>
    <w:p w14:paraId="483D1A96" w14:textId="1AEC7282" w:rsidR="002142DC" w:rsidRPr="00810A46" w:rsidRDefault="002142DC" w:rsidP="002142DC">
      <w:pPr>
        <w:pStyle w:val="Heading2"/>
      </w:pPr>
      <w:bookmarkStart w:id="28" w:name="_Toc224031126"/>
      <w:r>
        <w:t>Key Philosophical Differences on Data Privacy between US and EU</w:t>
      </w:r>
      <w:bookmarkEnd w:id="28"/>
    </w:p>
    <w:p w14:paraId="6B31B7DE" w14:textId="77777777" w:rsidR="002142DC" w:rsidRDefault="002142DC" w:rsidP="002142DC">
      <w:r>
        <w:t xml:space="preserve">GDPR operates on an </w:t>
      </w:r>
      <w:r>
        <w:rPr>
          <w:b/>
          <w:bCs/>
        </w:rPr>
        <w:t>opt-in</w:t>
      </w:r>
      <w:r>
        <w:t xml:space="preserve"> model. Companies cannot process your personal data unless they have a lawful basis to do so, and consent must be freely given, specific, and informed.</w:t>
      </w:r>
    </w:p>
    <w:p w14:paraId="65AA86DE" w14:textId="3E3D935B" w:rsidR="002142DC" w:rsidRDefault="002142DC" w:rsidP="00D00550">
      <w:r>
        <w:t xml:space="preserve">The US model is largely </w:t>
      </w:r>
      <w:r>
        <w:rPr>
          <w:b/>
          <w:bCs/>
        </w:rPr>
        <w:t>opt-out</w:t>
      </w:r>
      <w:r>
        <w:t>. Companies can collect and use your data by default, and you must take affirmative steps to restrict that. This is not a technical difference; it is a deep philosophical difference about the relationship between individuals, corporations, and the state. Understanding that difference will help you understand why US and EU regulators talk past each other so frequently, and why building globally compliant systems is genuinely hard.</w:t>
      </w:r>
    </w:p>
    <w:p w14:paraId="3B8FF532" w14:textId="103BEAC7" w:rsidR="00340445" w:rsidRPr="00810A46" w:rsidRDefault="00340445" w:rsidP="00340445">
      <w:pPr>
        <w:pStyle w:val="Heading2"/>
      </w:pPr>
      <w:bookmarkStart w:id="29" w:name="_Toc224031127"/>
      <w:r>
        <w:lastRenderedPageBreak/>
        <w:t>Countries with similar Data Privacy Laws to GDPR</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5"/>
        <w:gridCol w:w="2537"/>
        <w:gridCol w:w="5018"/>
      </w:tblGrid>
      <w:tr w:rsidR="00BE5BF1" w:rsidRPr="00171405" w14:paraId="79F41A07" w14:textId="77777777" w:rsidTr="002E012F">
        <w:trPr>
          <w:tblHeader/>
        </w:trPr>
        <w:tc>
          <w:tcPr>
            <w:tcW w:w="1795" w:type="dxa"/>
            <w:tcBorders>
              <w:top w:val="single" w:sz="4" w:space="0" w:color="B0C8D4"/>
              <w:left w:val="single" w:sz="4" w:space="0" w:color="B0C8D4"/>
              <w:bottom w:val="single" w:sz="4" w:space="0" w:color="B0C8D4"/>
              <w:right w:val="single" w:sz="4" w:space="0" w:color="B0C8D4"/>
            </w:tcBorders>
            <w:shd w:val="clear" w:color="auto" w:fill="0D1B2A"/>
            <w:tcMar>
              <w:top w:w="100" w:type="dxa"/>
              <w:left w:w="140" w:type="dxa"/>
              <w:bottom w:w="100" w:type="dxa"/>
              <w:right w:w="140" w:type="dxa"/>
            </w:tcMar>
          </w:tcPr>
          <w:p w14:paraId="692A3169" w14:textId="77777777" w:rsidR="00BE5BF1" w:rsidRPr="00171405" w:rsidRDefault="00BE5BF1" w:rsidP="008F691D">
            <w:pPr>
              <w:rPr>
                <w:sz w:val="20"/>
                <w:szCs w:val="20"/>
              </w:rPr>
            </w:pPr>
            <w:r w:rsidRPr="00171405">
              <w:rPr>
                <w:rFonts w:eastAsia="Calibri" w:cs="Calibri"/>
                <w:color w:val="FFFFFF"/>
                <w:sz w:val="20"/>
                <w:szCs w:val="20"/>
              </w:rPr>
              <w:t>Country / Region</w:t>
            </w:r>
          </w:p>
        </w:tc>
        <w:tc>
          <w:tcPr>
            <w:tcW w:w="2537" w:type="dxa"/>
            <w:tcBorders>
              <w:top w:val="single" w:sz="4" w:space="0" w:color="B0C8D4"/>
              <w:left w:val="single" w:sz="4" w:space="0" w:color="B0C8D4"/>
              <w:bottom w:val="single" w:sz="4" w:space="0" w:color="B0C8D4"/>
              <w:right w:val="single" w:sz="4" w:space="0" w:color="B0C8D4"/>
            </w:tcBorders>
            <w:shd w:val="clear" w:color="auto" w:fill="0D1B2A"/>
            <w:tcMar>
              <w:top w:w="100" w:type="dxa"/>
              <w:left w:w="140" w:type="dxa"/>
              <w:bottom w:w="100" w:type="dxa"/>
              <w:right w:w="140" w:type="dxa"/>
            </w:tcMar>
          </w:tcPr>
          <w:p w14:paraId="12B66635" w14:textId="77777777" w:rsidR="00BE5BF1" w:rsidRPr="00171405" w:rsidRDefault="00BE5BF1" w:rsidP="008F691D">
            <w:pPr>
              <w:rPr>
                <w:sz w:val="20"/>
                <w:szCs w:val="20"/>
              </w:rPr>
            </w:pPr>
            <w:r w:rsidRPr="00171405">
              <w:rPr>
                <w:rFonts w:eastAsia="Calibri" w:cs="Calibri"/>
                <w:color w:val="FFFFFF"/>
                <w:sz w:val="20"/>
                <w:szCs w:val="20"/>
              </w:rPr>
              <w:t>Law / Instrument</w:t>
            </w:r>
          </w:p>
        </w:tc>
        <w:tc>
          <w:tcPr>
            <w:tcW w:w="0" w:type="auto"/>
            <w:tcBorders>
              <w:top w:val="single" w:sz="4" w:space="0" w:color="B0C8D4"/>
              <w:left w:val="single" w:sz="4" w:space="0" w:color="B0C8D4"/>
              <w:bottom w:val="single" w:sz="4" w:space="0" w:color="B0C8D4"/>
              <w:right w:val="single" w:sz="4" w:space="0" w:color="B0C8D4"/>
            </w:tcBorders>
            <w:shd w:val="clear" w:color="auto" w:fill="0D1B2A"/>
            <w:tcMar>
              <w:top w:w="100" w:type="dxa"/>
              <w:left w:w="140" w:type="dxa"/>
              <w:bottom w:w="100" w:type="dxa"/>
              <w:right w:w="140" w:type="dxa"/>
            </w:tcMar>
          </w:tcPr>
          <w:p w14:paraId="7A7BC9A8" w14:textId="77777777" w:rsidR="00BE5BF1" w:rsidRPr="00171405" w:rsidRDefault="00BE5BF1" w:rsidP="008F691D">
            <w:pPr>
              <w:rPr>
                <w:sz w:val="20"/>
                <w:szCs w:val="20"/>
              </w:rPr>
            </w:pPr>
            <w:r w:rsidRPr="00171405">
              <w:rPr>
                <w:rFonts w:eastAsia="Calibri" w:cs="Calibri"/>
                <w:color w:val="FFFFFF"/>
                <w:sz w:val="20"/>
                <w:szCs w:val="20"/>
              </w:rPr>
              <w:t>Key Sovereign AI Implication</w:t>
            </w:r>
          </w:p>
        </w:tc>
      </w:tr>
      <w:tr w:rsidR="00563A4B" w:rsidRPr="00171405" w14:paraId="27BFC4E0"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3A9E6148" w14:textId="6EC3CD2D" w:rsidR="00563A4B" w:rsidRPr="00171405" w:rsidRDefault="00995D87" w:rsidP="008F691D">
            <w:pPr>
              <w:rPr>
                <w:rFonts w:eastAsia="Calibri" w:cs="Calibri"/>
                <w:color w:val="1A2B3C"/>
                <w:sz w:val="20"/>
                <w:szCs w:val="20"/>
              </w:rPr>
            </w:pPr>
            <w:r w:rsidRPr="00995D87">
              <w:rPr>
                <w:rFonts w:eastAsia="Calibri" w:cs="Calibri"/>
                <w:color w:val="1A2B3C"/>
                <w:sz w:val="20"/>
                <w:szCs w:val="20"/>
              </w:rPr>
              <w:t>European Union</w:t>
            </w:r>
            <w:r w:rsidRPr="00995D87">
              <w:rPr>
                <w:rFonts w:eastAsia="Calibri" w:cs="Calibri"/>
                <w:color w:val="1A2B3C"/>
                <w:sz w:val="20"/>
                <w:szCs w:val="20"/>
              </w:rPr>
              <w:tab/>
            </w:r>
            <w:r w:rsidRPr="00995D87">
              <w:rPr>
                <w:rFonts w:eastAsia="Calibri" w:cs="Calibri"/>
                <w:color w:val="1A2B3C"/>
                <w:sz w:val="20"/>
                <w:szCs w:val="20"/>
              </w:rPr>
              <w:tab/>
            </w:r>
          </w:p>
        </w:tc>
        <w:tc>
          <w:tcPr>
            <w:tcW w:w="2537"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6906E5F0" w14:textId="68A33274" w:rsidR="00563A4B" w:rsidRPr="00171405" w:rsidRDefault="00995D87" w:rsidP="008F691D">
            <w:pPr>
              <w:rPr>
                <w:rFonts w:eastAsia="Calibri" w:cs="Calibri"/>
                <w:color w:val="1A2B3C"/>
                <w:sz w:val="20"/>
                <w:szCs w:val="20"/>
              </w:rPr>
            </w:pPr>
            <w:r w:rsidRPr="00995D87">
              <w:rPr>
                <w:rFonts w:eastAsia="Calibri" w:cs="Calibri"/>
                <w:color w:val="1A2B3C"/>
                <w:sz w:val="20"/>
                <w:szCs w:val="20"/>
              </w:rPr>
              <w:t>GDPR (2018)</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48B01FC6" w14:textId="263B4DA4" w:rsidR="00563A4B" w:rsidRPr="00171405" w:rsidRDefault="00995D87" w:rsidP="008F691D">
            <w:pPr>
              <w:rPr>
                <w:rFonts w:eastAsia="Calibri" w:cs="Calibri"/>
                <w:color w:val="1A2B3C"/>
                <w:sz w:val="20"/>
                <w:szCs w:val="20"/>
              </w:rPr>
            </w:pPr>
            <w:r w:rsidRPr="00995D87">
              <w:rPr>
                <w:rFonts w:eastAsia="Calibri" w:cs="Calibri"/>
                <w:color w:val="1A2B3C"/>
                <w:sz w:val="20"/>
                <w:szCs w:val="20"/>
              </w:rPr>
              <w:t>Opt-in model; machine unlearning problem; 72-hour breach notification; €20M / 4% revenue fines</w:t>
            </w:r>
          </w:p>
        </w:tc>
      </w:tr>
      <w:tr w:rsidR="00BE5BF1" w:rsidRPr="00171405" w14:paraId="07BE2364"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2497833E" w14:textId="77777777" w:rsidR="00BE5BF1" w:rsidRPr="00171405" w:rsidRDefault="00BE5BF1" w:rsidP="008F691D">
            <w:pPr>
              <w:rPr>
                <w:sz w:val="20"/>
                <w:szCs w:val="20"/>
              </w:rPr>
            </w:pPr>
            <w:r w:rsidRPr="00171405">
              <w:rPr>
                <w:rFonts w:eastAsia="Calibri" w:cs="Calibri"/>
                <w:color w:val="1A2B3C"/>
                <w:sz w:val="20"/>
                <w:szCs w:val="20"/>
              </w:rPr>
              <w:t>Brazil</w:t>
            </w:r>
          </w:p>
        </w:tc>
        <w:tc>
          <w:tcPr>
            <w:tcW w:w="2537"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6392AF5F" w14:textId="77777777" w:rsidR="00BE5BF1" w:rsidRPr="00171405" w:rsidRDefault="00BE5BF1" w:rsidP="008F691D">
            <w:pPr>
              <w:rPr>
                <w:sz w:val="20"/>
                <w:szCs w:val="20"/>
              </w:rPr>
            </w:pPr>
            <w:r w:rsidRPr="00171405">
              <w:rPr>
                <w:rFonts w:eastAsia="Calibri" w:cs="Calibri"/>
                <w:color w:val="1A2B3C"/>
                <w:sz w:val="20"/>
                <w:szCs w:val="20"/>
              </w:rPr>
              <w:t>Lei Geral de Proteção de Dados (LGPD)</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0D5EC527" w14:textId="77777777" w:rsidR="00BE5BF1" w:rsidRPr="00171405" w:rsidRDefault="00BE5BF1" w:rsidP="008F691D">
            <w:pPr>
              <w:rPr>
                <w:sz w:val="20"/>
                <w:szCs w:val="20"/>
              </w:rPr>
            </w:pPr>
            <w:r w:rsidRPr="00171405">
              <w:rPr>
                <w:rFonts w:eastAsia="Calibri" w:cs="Calibri"/>
                <w:color w:val="1A2B3C"/>
                <w:sz w:val="20"/>
                <w:szCs w:val="20"/>
              </w:rPr>
              <w:t>Mirrors GDPR: same individual rights, legal bases, and enforcement authority. Material for any organization with Latin American digital operations.</w:t>
            </w:r>
          </w:p>
        </w:tc>
      </w:tr>
      <w:tr w:rsidR="00BE5BF1" w:rsidRPr="00171405" w14:paraId="23BBCB9E"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24606BFA" w14:textId="77777777" w:rsidR="00BE5BF1" w:rsidRPr="00171405" w:rsidRDefault="00BE5BF1" w:rsidP="008F691D">
            <w:pPr>
              <w:rPr>
                <w:sz w:val="20"/>
                <w:szCs w:val="20"/>
              </w:rPr>
            </w:pPr>
            <w:r w:rsidRPr="00171405">
              <w:rPr>
                <w:rFonts w:eastAsia="Calibri" w:cs="Calibri"/>
                <w:color w:val="1A2B3C"/>
                <w:sz w:val="20"/>
                <w:szCs w:val="20"/>
              </w:rPr>
              <w:t>India</w:t>
            </w:r>
          </w:p>
        </w:tc>
        <w:tc>
          <w:tcPr>
            <w:tcW w:w="2537"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221B1596" w14:textId="77777777" w:rsidR="00BE5BF1" w:rsidRPr="00171405" w:rsidRDefault="00BE5BF1" w:rsidP="008F691D">
            <w:pPr>
              <w:rPr>
                <w:sz w:val="20"/>
                <w:szCs w:val="20"/>
              </w:rPr>
            </w:pPr>
            <w:r w:rsidRPr="00171405">
              <w:rPr>
                <w:rFonts w:eastAsia="Calibri" w:cs="Calibri"/>
                <w:color w:val="1A2B3C"/>
                <w:sz w:val="20"/>
                <w:szCs w:val="20"/>
              </w:rPr>
              <w:t>Digital Personal Data Protection Act (DPDPA) 2023</w:t>
            </w:r>
          </w:p>
        </w:tc>
        <w:tc>
          <w:tcPr>
            <w:tcW w:w="0" w:type="auto"/>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0417E513" w14:textId="77777777" w:rsidR="00BE5BF1" w:rsidRPr="00171405" w:rsidRDefault="00BE5BF1" w:rsidP="008F691D">
            <w:pPr>
              <w:rPr>
                <w:sz w:val="20"/>
                <w:szCs w:val="20"/>
              </w:rPr>
            </w:pPr>
            <w:r w:rsidRPr="00171405">
              <w:rPr>
                <w:rFonts w:eastAsia="Calibri" w:cs="Calibri"/>
                <w:color w:val="1A2B3C"/>
                <w:sz w:val="20"/>
                <w:szCs w:val="20"/>
              </w:rPr>
              <w:t>More permissive than GDPR; friendlier to government data access. Establishes consent requirements and a Data Protection Board. Critical given India's scale as an AI market.</w:t>
            </w:r>
          </w:p>
        </w:tc>
      </w:tr>
      <w:tr w:rsidR="00BE5BF1" w:rsidRPr="00171405" w14:paraId="35CEA9DF"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767F2B56" w14:textId="77777777" w:rsidR="00BE5BF1" w:rsidRPr="00171405" w:rsidRDefault="00BE5BF1" w:rsidP="008F691D">
            <w:pPr>
              <w:rPr>
                <w:sz w:val="20"/>
                <w:szCs w:val="20"/>
              </w:rPr>
            </w:pPr>
            <w:r w:rsidRPr="00171405">
              <w:rPr>
                <w:rFonts w:eastAsia="Calibri" w:cs="Calibri"/>
                <w:color w:val="1A2B3C"/>
                <w:sz w:val="20"/>
                <w:szCs w:val="20"/>
              </w:rPr>
              <w:t>Canada</w:t>
            </w:r>
          </w:p>
        </w:tc>
        <w:tc>
          <w:tcPr>
            <w:tcW w:w="2537"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07AE7244" w14:textId="77777777" w:rsidR="00BE5BF1" w:rsidRPr="00171405" w:rsidRDefault="00BE5BF1" w:rsidP="008F691D">
            <w:pPr>
              <w:rPr>
                <w:sz w:val="20"/>
                <w:szCs w:val="20"/>
              </w:rPr>
            </w:pPr>
            <w:r w:rsidRPr="00171405">
              <w:rPr>
                <w:rFonts w:eastAsia="Calibri" w:cs="Calibri"/>
                <w:color w:val="1A2B3C"/>
                <w:sz w:val="20"/>
                <w:szCs w:val="20"/>
              </w:rPr>
              <w:t>PIPEDA / Bill C-27 (CPPA, in progress)</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4A623D18" w14:textId="77777777" w:rsidR="00BE5BF1" w:rsidRPr="00171405" w:rsidRDefault="00BE5BF1" w:rsidP="008F691D">
            <w:pPr>
              <w:rPr>
                <w:sz w:val="20"/>
                <w:szCs w:val="20"/>
              </w:rPr>
            </w:pPr>
            <w:r w:rsidRPr="00171405">
              <w:rPr>
                <w:rFonts w:eastAsia="Calibri" w:cs="Calibri"/>
                <w:color w:val="1A2B3C"/>
                <w:sz w:val="20"/>
                <w:szCs w:val="20"/>
              </w:rPr>
              <w:t>PIPEDA being replaced by the stronger CPPA, which would align Canada more closely with GDPR. Monitor legislative progress for compliance planning.</w:t>
            </w:r>
          </w:p>
        </w:tc>
      </w:tr>
      <w:tr w:rsidR="00BE5BF1" w:rsidRPr="00171405" w14:paraId="41F886EC"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545795EB" w14:textId="77777777" w:rsidR="00BE5BF1" w:rsidRPr="00171405" w:rsidRDefault="00BE5BF1" w:rsidP="008F691D">
            <w:pPr>
              <w:rPr>
                <w:sz w:val="20"/>
                <w:szCs w:val="20"/>
              </w:rPr>
            </w:pPr>
            <w:r w:rsidRPr="00171405">
              <w:rPr>
                <w:rFonts w:eastAsia="Calibri" w:cs="Calibri"/>
                <w:color w:val="1A2B3C"/>
                <w:sz w:val="20"/>
                <w:szCs w:val="20"/>
              </w:rPr>
              <w:t>Japan</w:t>
            </w:r>
          </w:p>
        </w:tc>
        <w:tc>
          <w:tcPr>
            <w:tcW w:w="2537"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3F1F4445" w14:textId="77777777" w:rsidR="00BE5BF1" w:rsidRPr="00171405" w:rsidRDefault="00BE5BF1" w:rsidP="008F691D">
            <w:pPr>
              <w:rPr>
                <w:sz w:val="20"/>
                <w:szCs w:val="20"/>
              </w:rPr>
            </w:pPr>
            <w:r w:rsidRPr="00171405">
              <w:rPr>
                <w:rFonts w:eastAsia="Calibri" w:cs="Calibri"/>
                <w:color w:val="1A2B3C"/>
                <w:sz w:val="20"/>
                <w:szCs w:val="20"/>
              </w:rPr>
              <w:t>Act on Protection of Personal Information (APPI)</w:t>
            </w:r>
          </w:p>
        </w:tc>
        <w:tc>
          <w:tcPr>
            <w:tcW w:w="0" w:type="auto"/>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2D8AD41F" w14:textId="77777777" w:rsidR="00BE5BF1" w:rsidRPr="00171405" w:rsidRDefault="00BE5BF1" w:rsidP="008F691D">
            <w:pPr>
              <w:rPr>
                <w:sz w:val="20"/>
                <w:szCs w:val="20"/>
              </w:rPr>
            </w:pPr>
            <w:r w:rsidRPr="00171405">
              <w:rPr>
                <w:rFonts w:eastAsia="Calibri" w:cs="Calibri"/>
                <w:color w:val="1A2B3C"/>
                <w:sz w:val="20"/>
                <w:szCs w:val="20"/>
              </w:rPr>
              <w:t>EU adequacy decision in place — data can flow between EU and Japan without additional safeguards. Operationally valuable for multi-regional sovereign architectures.</w:t>
            </w:r>
          </w:p>
        </w:tc>
      </w:tr>
      <w:tr w:rsidR="00BE5BF1" w:rsidRPr="00171405" w14:paraId="2B41B4BF"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765CE785" w14:textId="77777777" w:rsidR="00BE5BF1" w:rsidRPr="00171405" w:rsidRDefault="00BE5BF1" w:rsidP="008F691D">
            <w:pPr>
              <w:rPr>
                <w:sz w:val="20"/>
                <w:szCs w:val="20"/>
              </w:rPr>
            </w:pPr>
            <w:r w:rsidRPr="00171405">
              <w:rPr>
                <w:rFonts w:eastAsia="Calibri" w:cs="Calibri"/>
                <w:color w:val="1A2B3C"/>
                <w:sz w:val="20"/>
                <w:szCs w:val="20"/>
              </w:rPr>
              <w:t>South Korea</w:t>
            </w:r>
          </w:p>
        </w:tc>
        <w:tc>
          <w:tcPr>
            <w:tcW w:w="2537"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652AC6B6" w14:textId="77777777" w:rsidR="00BE5BF1" w:rsidRPr="00171405" w:rsidRDefault="00BE5BF1" w:rsidP="008F691D">
            <w:pPr>
              <w:rPr>
                <w:sz w:val="20"/>
                <w:szCs w:val="20"/>
              </w:rPr>
            </w:pPr>
            <w:r w:rsidRPr="00171405">
              <w:rPr>
                <w:rFonts w:eastAsia="Calibri" w:cs="Calibri"/>
                <w:color w:val="1A2B3C"/>
                <w:sz w:val="20"/>
                <w:szCs w:val="20"/>
              </w:rPr>
              <w:t>Personal Information Protection Act (PIPA)</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35161573" w14:textId="77777777" w:rsidR="00BE5BF1" w:rsidRPr="00171405" w:rsidRDefault="00BE5BF1" w:rsidP="008F691D">
            <w:pPr>
              <w:rPr>
                <w:sz w:val="20"/>
                <w:szCs w:val="20"/>
              </w:rPr>
            </w:pPr>
            <w:r w:rsidRPr="00171405">
              <w:rPr>
                <w:rFonts w:eastAsia="Calibri" w:cs="Calibri"/>
                <w:color w:val="1A2B3C"/>
                <w:sz w:val="20"/>
                <w:szCs w:val="20"/>
              </w:rPr>
              <w:t>One of the strictest regimes in Asia; EU adequacy recognized. Heavy obligations and serious enforcement — treat as near-equivalent to GDPR for architecture decisions.</w:t>
            </w:r>
          </w:p>
        </w:tc>
      </w:tr>
      <w:tr w:rsidR="00BE5BF1" w:rsidRPr="00171405" w14:paraId="2E7EEF77"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12BFC04E" w14:textId="77777777" w:rsidR="00BE5BF1" w:rsidRPr="00171405" w:rsidRDefault="00BE5BF1" w:rsidP="008F691D">
            <w:pPr>
              <w:rPr>
                <w:sz w:val="20"/>
                <w:szCs w:val="20"/>
              </w:rPr>
            </w:pPr>
            <w:r w:rsidRPr="00171405">
              <w:rPr>
                <w:rFonts w:eastAsia="Calibri" w:cs="Calibri"/>
                <w:color w:val="1A2B3C"/>
                <w:sz w:val="20"/>
                <w:szCs w:val="20"/>
              </w:rPr>
              <w:t>Australia</w:t>
            </w:r>
          </w:p>
        </w:tc>
        <w:tc>
          <w:tcPr>
            <w:tcW w:w="2537"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61413DA9" w14:textId="77777777" w:rsidR="00BE5BF1" w:rsidRPr="00171405" w:rsidRDefault="00BE5BF1" w:rsidP="008F691D">
            <w:pPr>
              <w:rPr>
                <w:sz w:val="20"/>
                <w:szCs w:val="20"/>
              </w:rPr>
            </w:pPr>
            <w:r w:rsidRPr="00171405">
              <w:rPr>
                <w:rFonts w:eastAsia="Calibri" w:cs="Calibri"/>
                <w:color w:val="1A2B3C"/>
                <w:sz w:val="20"/>
                <w:szCs w:val="20"/>
              </w:rPr>
              <w:t>Privacy Act 1988 (reform ongoing)</w:t>
            </w:r>
          </w:p>
        </w:tc>
        <w:tc>
          <w:tcPr>
            <w:tcW w:w="0" w:type="auto"/>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1EE7679F" w14:textId="77777777" w:rsidR="00BE5BF1" w:rsidRPr="00171405" w:rsidRDefault="00BE5BF1" w:rsidP="008F691D">
            <w:pPr>
              <w:rPr>
                <w:sz w:val="20"/>
                <w:szCs w:val="20"/>
              </w:rPr>
            </w:pPr>
            <w:r w:rsidRPr="00171405">
              <w:rPr>
                <w:rFonts w:eastAsia="Calibri" w:cs="Calibri"/>
                <w:color w:val="1A2B3C"/>
                <w:sz w:val="20"/>
                <w:szCs w:val="20"/>
              </w:rPr>
              <w:t>Active legislative reform following high-profile breaches; moving toward GDPR-level protections. Architects should design for the strengthened standard now.</w:t>
            </w:r>
          </w:p>
        </w:tc>
      </w:tr>
      <w:tr w:rsidR="00BE5BF1" w:rsidRPr="00171405" w14:paraId="524F7CD8"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56B5849E" w14:textId="77777777" w:rsidR="00BE5BF1" w:rsidRPr="00171405" w:rsidRDefault="00BE5BF1" w:rsidP="008F691D">
            <w:pPr>
              <w:rPr>
                <w:sz w:val="20"/>
                <w:szCs w:val="20"/>
              </w:rPr>
            </w:pPr>
            <w:r w:rsidRPr="00171405">
              <w:rPr>
                <w:rFonts w:eastAsia="Calibri" w:cs="Calibri"/>
                <w:color w:val="1A2B3C"/>
                <w:sz w:val="20"/>
                <w:szCs w:val="20"/>
              </w:rPr>
              <w:t>China</w:t>
            </w:r>
          </w:p>
        </w:tc>
        <w:tc>
          <w:tcPr>
            <w:tcW w:w="2537"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0CAD79D1" w14:textId="77777777" w:rsidR="00BE5BF1" w:rsidRPr="00171405" w:rsidRDefault="00BE5BF1" w:rsidP="008F691D">
            <w:pPr>
              <w:rPr>
                <w:sz w:val="20"/>
                <w:szCs w:val="20"/>
              </w:rPr>
            </w:pPr>
            <w:r w:rsidRPr="00171405">
              <w:rPr>
                <w:rFonts w:eastAsia="Calibri" w:cs="Calibri"/>
                <w:color w:val="1A2B3C"/>
                <w:sz w:val="20"/>
                <w:szCs w:val="20"/>
              </w:rPr>
              <w:t>Personal Information Protection Law (PIPL) + Data Security Law + Cybersecurity Law</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76270749" w14:textId="77777777" w:rsidR="00BE5BF1" w:rsidRPr="00171405" w:rsidRDefault="00BE5BF1" w:rsidP="008F691D">
            <w:pPr>
              <w:rPr>
                <w:sz w:val="20"/>
                <w:szCs w:val="20"/>
              </w:rPr>
            </w:pPr>
            <w:r w:rsidRPr="00171405">
              <w:rPr>
                <w:rFonts w:eastAsia="Calibri" w:cs="Calibri"/>
                <w:color w:val="1A2B3C"/>
                <w:sz w:val="20"/>
                <w:szCs w:val="20"/>
              </w:rPr>
              <w:t>Must be assessed as a trio. PIPL grants individual rights but co-exists with laws granting broad government data-access authority — a direct sovereignty conflict for foreign operators.</w:t>
            </w:r>
          </w:p>
        </w:tc>
      </w:tr>
      <w:tr w:rsidR="00BE5BF1" w:rsidRPr="00171405" w14:paraId="63A4FEAC"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4E755817" w14:textId="77777777" w:rsidR="00BE5BF1" w:rsidRPr="00171405" w:rsidRDefault="00BE5BF1" w:rsidP="008F691D">
            <w:pPr>
              <w:rPr>
                <w:sz w:val="20"/>
                <w:szCs w:val="20"/>
              </w:rPr>
            </w:pPr>
            <w:r w:rsidRPr="00171405">
              <w:rPr>
                <w:rFonts w:eastAsia="Calibri" w:cs="Calibri"/>
                <w:color w:val="1A2B3C"/>
                <w:sz w:val="20"/>
                <w:szCs w:val="20"/>
              </w:rPr>
              <w:t>UAE</w:t>
            </w:r>
          </w:p>
        </w:tc>
        <w:tc>
          <w:tcPr>
            <w:tcW w:w="2537" w:type="dxa"/>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06C13A3C" w14:textId="77777777" w:rsidR="00BE5BF1" w:rsidRPr="00171405" w:rsidRDefault="00BE5BF1" w:rsidP="008F691D">
            <w:pPr>
              <w:rPr>
                <w:sz w:val="20"/>
                <w:szCs w:val="20"/>
              </w:rPr>
            </w:pPr>
            <w:r w:rsidRPr="00171405">
              <w:rPr>
                <w:rFonts w:eastAsia="Calibri" w:cs="Calibri"/>
                <w:color w:val="1A2B3C"/>
                <w:sz w:val="20"/>
                <w:szCs w:val="20"/>
              </w:rPr>
              <w:t>Federal Decree-Law No. 45 of 2021 / DIFC DP Law / ADGM DP Regulations</w:t>
            </w:r>
          </w:p>
        </w:tc>
        <w:tc>
          <w:tcPr>
            <w:tcW w:w="0" w:type="auto"/>
            <w:tcBorders>
              <w:top w:val="single" w:sz="4" w:space="0" w:color="B0C8D4"/>
              <w:left w:val="single" w:sz="4" w:space="0" w:color="B0C8D4"/>
              <w:bottom w:val="single" w:sz="4" w:space="0" w:color="B0C8D4"/>
              <w:right w:val="single" w:sz="4" w:space="0" w:color="B0C8D4"/>
            </w:tcBorders>
            <w:shd w:val="clear" w:color="auto" w:fill="F0F4F8"/>
            <w:tcMar>
              <w:top w:w="80" w:type="dxa"/>
              <w:left w:w="140" w:type="dxa"/>
              <w:bottom w:w="80" w:type="dxa"/>
              <w:right w:w="140" w:type="dxa"/>
            </w:tcMar>
          </w:tcPr>
          <w:p w14:paraId="3DE3B509" w14:textId="77777777" w:rsidR="00BE5BF1" w:rsidRPr="00171405" w:rsidRDefault="00BE5BF1" w:rsidP="008F691D">
            <w:pPr>
              <w:rPr>
                <w:sz w:val="20"/>
                <w:szCs w:val="20"/>
              </w:rPr>
            </w:pPr>
            <w:r w:rsidRPr="00171405">
              <w:rPr>
                <w:rFonts w:eastAsia="Calibri" w:cs="Calibri"/>
                <w:color w:val="1A2B3C"/>
                <w:sz w:val="20"/>
                <w:szCs w:val="20"/>
              </w:rPr>
              <w:t>Three overlapping regimes (federal, DIFC free zone, ADGM free zone). Jurisdiction depends on where the entity is incorporated — critical for Gulf-region AI deployments.</w:t>
            </w:r>
          </w:p>
        </w:tc>
      </w:tr>
      <w:tr w:rsidR="00BE5BF1" w:rsidRPr="00171405" w14:paraId="304D7C96" w14:textId="77777777" w:rsidTr="002E012F">
        <w:tc>
          <w:tcPr>
            <w:tcW w:w="179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4BCAF59C" w14:textId="77777777" w:rsidR="00BE5BF1" w:rsidRPr="00171405" w:rsidRDefault="00BE5BF1" w:rsidP="008F691D">
            <w:pPr>
              <w:rPr>
                <w:sz w:val="20"/>
                <w:szCs w:val="20"/>
              </w:rPr>
            </w:pPr>
            <w:r w:rsidRPr="00171405">
              <w:rPr>
                <w:rFonts w:eastAsia="Calibri" w:cs="Calibri"/>
                <w:color w:val="1A2B3C"/>
                <w:sz w:val="20"/>
                <w:szCs w:val="20"/>
              </w:rPr>
              <w:lastRenderedPageBreak/>
              <w:t>South Africa</w:t>
            </w:r>
          </w:p>
        </w:tc>
        <w:tc>
          <w:tcPr>
            <w:tcW w:w="2537"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443D3571" w14:textId="77777777" w:rsidR="00BE5BF1" w:rsidRPr="00171405" w:rsidRDefault="00BE5BF1" w:rsidP="008F691D">
            <w:pPr>
              <w:rPr>
                <w:sz w:val="20"/>
                <w:szCs w:val="20"/>
              </w:rPr>
            </w:pPr>
            <w:r w:rsidRPr="00171405">
              <w:rPr>
                <w:rFonts w:eastAsia="Calibri" w:cs="Calibri"/>
                <w:color w:val="1A2B3C"/>
                <w:sz w:val="20"/>
                <w:szCs w:val="20"/>
              </w:rPr>
              <w:t>Protection of Personal Information Act (POPIA)</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tcPr>
          <w:p w14:paraId="7B380CBC" w14:textId="77777777" w:rsidR="00BE5BF1" w:rsidRPr="00171405" w:rsidRDefault="00BE5BF1" w:rsidP="008F691D">
            <w:pPr>
              <w:rPr>
                <w:sz w:val="20"/>
                <w:szCs w:val="20"/>
              </w:rPr>
            </w:pPr>
            <w:r w:rsidRPr="00171405">
              <w:rPr>
                <w:rFonts w:eastAsia="Calibri" w:cs="Calibri"/>
                <w:color w:val="1A2B3C"/>
                <w:sz w:val="20"/>
                <w:szCs w:val="20"/>
              </w:rPr>
              <w:t>Most mature and GDPR-aligned data privacy law on the African continent. Baseline for sovereign AI compliance across sub-Saharan African operations.</w:t>
            </w:r>
          </w:p>
        </w:tc>
      </w:tr>
    </w:tbl>
    <w:p w14:paraId="5E3A5F10" w14:textId="77777777" w:rsidR="0080095E" w:rsidRDefault="0080095E" w:rsidP="00024A46">
      <w:pPr>
        <w:pStyle w:val="Heading1"/>
      </w:pPr>
      <w:bookmarkStart w:id="30" w:name="_Jurisdictional_Law"/>
      <w:bookmarkEnd w:id="30"/>
    </w:p>
    <w:p w14:paraId="2C5CA02A" w14:textId="77777777" w:rsidR="0080095E" w:rsidRDefault="0080095E">
      <w:pPr>
        <w:rPr>
          <w:rFonts w:eastAsiaTheme="majorEastAsia" w:cstheme="majorBidi"/>
          <w:b/>
          <w:color w:val="0F4761" w:themeColor="accent1" w:themeShade="BF"/>
          <w:sz w:val="36"/>
          <w:szCs w:val="40"/>
        </w:rPr>
      </w:pPr>
      <w:r>
        <w:br w:type="page"/>
      </w:r>
    </w:p>
    <w:p w14:paraId="157041C6" w14:textId="005DDFBA" w:rsidR="00024A46" w:rsidRPr="00810A46" w:rsidRDefault="00024A46" w:rsidP="00024A46">
      <w:pPr>
        <w:pStyle w:val="Heading1"/>
      </w:pPr>
      <w:bookmarkStart w:id="31" w:name="_Toc224031128"/>
      <w:r>
        <w:lastRenderedPageBreak/>
        <w:t>Jurisdictional Law</w:t>
      </w:r>
      <w:bookmarkEnd w:id="31"/>
    </w:p>
    <w:p w14:paraId="464674B9" w14:textId="3285D9E9" w:rsidR="000F7C1C" w:rsidRDefault="000F7C1C" w:rsidP="000F7C1C">
      <w:pPr>
        <w:pStyle w:val="Heading2"/>
      </w:pPr>
      <w:bookmarkStart w:id="32" w:name="_United_States"/>
      <w:bookmarkStart w:id="33" w:name="_Toc224031129"/>
      <w:bookmarkEnd w:id="32"/>
      <w:r>
        <w:t>United States</w:t>
      </w:r>
      <w:bookmarkEnd w:id="33"/>
    </w:p>
    <w:p w14:paraId="7FDA9C40" w14:textId="70F83F88" w:rsidR="004E726F" w:rsidRDefault="00DA3D3C" w:rsidP="004E726F">
      <w:r>
        <w:t xml:space="preserve">The </w:t>
      </w:r>
      <w:r>
        <w:rPr>
          <w:b/>
          <w:bCs/>
        </w:rPr>
        <w:t>Clarifying Lawful Overseas Use of Data Act (CLOUD Act)</w:t>
      </w:r>
      <w:r>
        <w:t xml:space="preserve"> was enacted in 2018 as an amendment to the </w:t>
      </w:r>
      <w:r>
        <w:rPr>
          <w:b/>
          <w:bCs/>
        </w:rPr>
        <w:t>Stored Communications Act (SCA) of 1986</w:t>
      </w:r>
      <w:r>
        <w:t xml:space="preserve">. </w:t>
      </w:r>
      <w:r w:rsidR="00516FC9">
        <w:rPr>
          <w:rFonts w:eastAsia="Calibri" w:cs="Calibri"/>
          <w:color w:val="333333"/>
          <w:szCs w:val="22"/>
        </w:rPr>
        <w:t xml:space="preserve">It </w:t>
      </w:r>
      <w:r w:rsidR="006623B5">
        <w:rPr>
          <w:rFonts w:eastAsia="Calibri" w:cs="Calibri"/>
          <w:color w:val="333333"/>
          <w:szCs w:val="22"/>
        </w:rPr>
        <w:t>answers</w:t>
      </w:r>
      <w:r w:rsidR="00516FC9">
        <w:rPr>
          <w:rFonts w:eastAsia="Calibri" w:cs="Calibri"/>
          <w:color w:val="333333"/>
          <w:szCs w:val="22"/>
        </w:rPr>
        <w:t xml:space="preserve"> the jurisdictional question clearly: </w:t>
      </w:r>
      <w:r w:rsidR="004E726F">
        <w:rPr>
          <w:b/>
          <w:bCs/>
        </w:rPr>
        <w:t>US providers must comply with lawful US government orders regardless of where the data is physically stored.</w:t>
      </w:r>
      <w:r w:rsidR="004E726F">
        <w:t xml:space="preserve"> Physical location of data does not determine legal jurisdiction over </w:t>
      </w:r>
      <w:r w:rsidR="006501FF">
        <w:t>it,</w:t>
      </w:r>
      <w:r w:rsidR="004E726F">
        <w:t xml:space="preserve"> but the nationality and incorporation of the provider does.</w:t>
      </w:r>
    </w:p>
    <w:p w14:paraId="12B95F0F" w14:textId="77777777" w:rsidR="00DB7B63" w:rsidRDefault="00DB7B63" w:rsidP="00DB7B63">
      <w:pPr>
        <w:spacing w:before="80" w:after="80"/>
        <w:jc w:val="both"/>
      </w:pPr>
      <w:r>
        <w:rPr>
          <w:rFonts w:eastAsia="Calibri" w:cs="Calibri"/>
          <w:color w:val="333333"/>
          <w:szCs w:val="22"/>
        </w:rPr>
        <w:t>CLOUD Act orders are not voluntary requests. A provider that refuses to comply faces contempt of court. There is no opt-out mechanism, regardless of what provider contracts with customers say.</w:t>
      </w:r>
    </w:p>
    <w:p w14:paraId="5D6A0163" w14:textId="1A0EC91F" w:rsidR="00DA3D3C" w:rsidRDefault="00DA3D3C" w:rsidP="002E3089">
      <w:r>
        <w:t xml:space="preserve">The US has signed CLOUD Act agreements with the </w:t>
      </w:r>
      <w:r>
        <w:rPr>
          <w:b/>
          <w:bCs/>
        </w:rPr>
        <w:t>United Kingdom</w:t>
      </w:r>
      <w:r>
        <w:t xml:space="preserve">, </w:t>
      </w:r>
      <w:r>
        <w:rPr>
          <w:b/>
          <w:bCs/>
        </w:rPr>
        <w:t>Australia</w:t>
      </w:r>
      <w:r>
        <w:t xml:space="preserve">, and the </w:t>
      </w:r>
      <w:r>
        <w:rPr>
          <w:b/>
          <w:bCs/>
        </w:rPr>
        <w:t>European Union</w:t>
      </w:r>
      <w:r>
        <w:t xml:space="preserve"> (a framework agreement, with individual member state agreements following). This makes the CLOUD Act partly a </w:t>
      </w:r>
      <w:r>
        <w:rPr>
          <w:b/>
          <w:bCs/>
        </w:rPr>
        <w:t>foreign policy and treaty-enabling instrument</w:t>
      </w:r>
      <w:r>
        <w:t>, giving the executive branch significant power to reshape international law enforcement data sharing through agreements that do not require Senate ratification as treaties.</w:t>
      </w:r>
    </w:p>
    <w:p w14:paraId="07C9F375" w14:textId="48DFC4CD" w:rsidR="00736ACF" w:rsidRDefault="00736ACF" w:rsidP="002E3089">
      <w:pPr>
        <w:rPr>
          <w:b/>
          <w:bCs/>
        </w:rPr>
      </w:pPr>
      <w:r>
        <w:t xml:space="preserve">What the CLOUD Act </w:t>
      </w:r>
      <w:r w:rsidR="00836750">
        <w:t>M</w:t>
      </w:r>
      <w:r>
        <w:t xml:space="preserve">eans for your </w:t>
      </w:r>
      <w:r w:rsidR="00836750">
        <w:t>A</w:t>
      </w:r>
      <w:r>
        <w:t>rchitect</w:t>
      </w:r>
      <w:r w:rsidR="00C86D86">
        <w:t>ure</w:t>
      </w:r>
    </w:p>
    <w:p w14:paraId="2DE5AF16" w14:textId="77777777" w:rsidR="00DA3D3C" w:rsidRPr="00DA3D3C" w:rsidRDefault="00DA3D3C" w:rsidP="008C6E7C">
      <w:pPr>
        <w:pStyle w:val="ListParagraph"/>
        <w:numPr>
          <w:ilvl w:val="0"/>
          <w:numId w:val="6"/>
        </w:numPr>
      </w:pPr>
      <w:r>
        <w:rPr>
          <w:b/>
          <w:bCs/>
        </w:rPr>
        <w:t>Contractual protections cannot override it.</w:t>
      </w:r>
      <w:r>
        <w:t xml:space="preserve"> No contract between a cloud provider and its customer can override a CLOUD Act order. A data processing agreement, a sovereignty addendum, or a contractual data residency guarantee does not protect your data from CLOUD Act compelled disclosure. The provider's legal obligation to the US government supersedes its contractual obligation to you. This is a point that is frequently misunderstood in commercial sovereign cloud negotiations.</w:t>
      </w:r>
    </w:p>
    <w:p w14:paraId="5F7AA2CD" w14:textId="1F8AFFE3" w:rsidR="00DA3D3C" w:rsidRPr="00DA3D3C" w:rsidRDefault="00DA3D3C" w:rsidP="008C6E7C">
      <w:pPr>
        <w:pStyle w:val="ListParagraph"/>
        <w:numPr>
          <w:ilvl w:val="0"/>
          <w:numId w:val="6"/>
        </w:numPr>
      </w:pPr>
      <w:r>
        <w:rPr>
          <w:b/>
          <w:bCs/>
        </w:rPr>
        <w:t>Data residency alone cannot defeat it.</w:t>
      </w:r>
      <w:r>
        <w:t xml:space="preserve"> Storing your data in a European data center operated by a US company does not remove it from CLOUD Act reach. The law is explicit that physical location is irrelevant. What matters is whether the provider is subject to US jurisdiction.</w:t>
      </w:r>
    </w:p>
    <w:p w14:paraId="7EC47B12" w14:textId="3D03424F" w:rsidR="00DA3D3C" w:rsidRPr="00DA3D3C" w:rsidRDefault="00DA3D3C" w:rsidP="008C6E7C">
      <w:pPr>
        <w:pStyle w:val="ListParagraph"/>
        <w:numPr>
          <w:ilvl w:val="0"/>
          <w:numId w:val="6"/>
        </w:numPr>
      </w:pPr>
      <w:r>
        <w:rPr>
          <w:b/>
          <w:bCs/>
        </w:rPr>
        <w:t>Technical measures can create practical barriers.</w:t>
      </w:r>
      <w:r>
        <w:t xml:space="preserve"> If you hold your own encryption keys in an HSM on your own premises, a CLOUD Act order served on your cloud provider produces only encrypted ciphertext that is useless without your keys. The government would then need to separately compel </w:t>
      </w:r>
      <w:r>
        <w:rPr>
          <w:b/>
          <w:bCs/>
        </w:rPr>
        <w:t>you</w:t>
      </w:r>
      <w:r>
        <w:t xml:space="preserve"> to produce the keys which require a different legal process, potentially in your jurisdiction rather than the US, and gives you legal standing to contest the order. This is why </w:t>
      </w:r>
      <w:r>
        <w:rPr>
          <w:b/>
          <w:bCs/>
        </w:rPr>
        <w:t>customer-managed keys with sovereign HSMs</w:t>
      </w:r>
      <w:r>
        <w:t xml:space="preserve"> are one of the most important technical countermeasures in sovereign cloud architecture.</w:t>
      </w:r>
    </w:p>
    <w:p w14:paraId="52B25142" w14:textId="1F137B74" w:rsidR="00DA3D3C" w:rsidRPr="00DA3D3C" w:rsidRDefault="00DA3D3C" w:rsidP="008C6E7C">
      <w:pPr>
        <w:pStyle w:val="ListParagraph"/>
        <w:numPr>
          <w:ilvl w:val="0"/>
          <w:numId w:val="6"/>
        </w:numPr>
      </w:pPr>
      <w:r>
        <w:rPr>
          <w:b/>
          <w:bCs/>
        </w:rPr>
        <w:t>Provider nationality is the determining factor.</w:t>
      </w:r>
      <w:r>
        <w:t xml:space="preserve"> Using a cloud provider that is not incorporated in the United States and has no US operations removes the CLOUD Act jurisdictional basis entirely. This is why sovereign cloud strategies sometimes involve using providers incorporated in the customer's own country or in jurisdictions with favorable legal frameworks. Though as discussed earlier, most leading-edge AI infrastructure traces back to US-controlled entities somewhere in the stack.</w:t>
      </w:r>
    </w:p>
    <w:p w14:paraId="1DE42439" w14:textId="60D35396" w:rsidR="00DA3D3C" w:rsidRPr="00DA3D3C" w:rsidRDefault="00DA3D3C" w:rsidP="008C6E7C">
      <w:pPr>
        <w:pStyle w:val="ListParagraph"/>
        <w:numPr>
          <w:ilvl w:val="0"/>
          <w:numId w:val="6"/>
        </w:numPr>
      </w:pPr>
      <w:r>
        <w:rPr>
          <w:b/>
          <w:bCs/>
        </w:rPr>
        <w:lastRenderedPageBreak/>
        <w:t>Bilateral agreements expand its reach.</w:t>
      </w:r>
      <w:r>
        <w:t xml:space="preserve"> If your country has signed a CLOUD Act executive agreement with the US, your own law enforcement can access data held by US providers more easily but reciprocally, US law enforcement gains easier access to data held by providers in your country. This is a sovereignty tradeoff that must be assessed in your legal framework.</w:t>
      </w:r>
    </w:p>
    <w:p w14:paraId="5E60D4E8" w14:textId="1C7BECBB" w:rsidR="00810A46" w:rsidRPr="00810A46" w:rsidRDefault="00B76544" w:rsidP="00FF6968">
      <w:pPr>
        <w:pStyle w:val="Heading2"/>
      </w:pPr>
      <w:bookmarkStart w:id="34" w:name="_Toc224031130"/>
      <w:r>
        <w:t xml:space="preserve">Global </w:t>
      </w:r>
      <w:r w:rsidR="00CD171E">
        <w:t>Jurisdiction Laws</w:t>
      </w:r>
      <w:bookmarkEnd w:id="34"/>
    </w:p>
    <w:p w14:paraId="43D4C18E" w14:textId="5A0B0A38" w:rsidR="00810A46" w:rsidRDefault="00810A46" w:rsidP="00810A46">
      <w:r>
        <w:t>The CLOUD Act asserts that US law enforcement can compel US-based providers to produce data regardless of where it is stored. Other governments have pursued similar powers.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5"/>
        <w:gridCol w:w="2305"/>
        <w:gridCol w:w="5070"/>
      </w:tblGrid>
      <w:tr w:rsidR="00097993" w14:paraId="0EC8350B" w14:textId="77777777" w:rsidTr="002E012F">
        <w:trPr>
          <w:tblHeader/>
        </w:trPr>
        <w:tc>
          <w:tcPr>
            <w:tcW w:w="1975" w:type="dxa"/>
            <w:tcBorders>
              <w:top w:val="single" w:sz="4" w:space="0" w:color="B0C8D4"/>
              <w:left w:val="single" w:sz="4" w:space="0" w:color="B0C8D4"/>
              <w:bottom w:val="single" w:sz="4" w:space="0" w:color="B0C8D4"/>
              <w:right w:val="single" w:sz="4" w:space="0" w:color="B0C8D4"/>
            </w:tcBorders>
            <w:shd w:val="clear" w:color="auto" w:fill="0D1B2A"/>
            <w:tcMar>
              <w:top w:w="100" w:type="dxa"/>
              <w:left w:w="140" w:type="dxa"/>
              <w:bottom w:w="100" w:type="dxa"/>
              <w:right w:w="140" w:type="dxa"/>
            </w:tcMar>
            <w:vAlign w:val="center"/>
          </w:tcPr>
          <w:p w14:paraId="0A18B6EF" w14:textId="77777777" w:rsidR="00097993" w:rsidRDefault="00097993" w:rsidP="008F691D">
            <w:r>
              <w:rPr>
                <w:rFonts w:eastAsia="Calibri" w:cs="Calibri"/>
                <w:b/>
                <w:bCs/>
                <w:color w:val="FFFFFF"/>
                <w:sz w:val="20"/>
                <w:szCs w:val="20"/>
              </w:rPr>
              <w:t>Country / Bloc</w:t>
            </w:r>
          </w:p>
        </w:tc>
        <w:tc>
          <w:tcPr>
            <w:tcW w:w="2305" w:type="dxa"/>
            <w:tcBorders>
              <w:top w:val="single" w:sz="4" w:space="0" w:color="B0C8D4"/>
              <w:left w:val="single" w:sz="4" w:space="0" w:color="B0C8D4"/>
              <w:bottom w:val="single" w:sz="4" w:space="0" w:color="B0C8D4"/>
              <w:right w:val="single" w:sz="4" w:space="0" w:color="B0C8D4"/>
            </w:tcBorders>
            <w:shd w:val="clear" w:color="auto" w:fill="0D1B2A"/>
            <w:tcMar>
              <w:top w:w="100" w:type="dxa"/>
              <w:left w:w="140" w:type="dxa"/>
              <w:bottom w:w="100" w:type="dxa"/>
              <w:right w:w="140" w:type="dxa"/>
            </w:tcMar>
            <w:vAlign w:val="center"/>
          </w:tcPr>
          <w:p w14:paraId="712E92CA" w14:textId="77777777" w:rsidR="00097993" w:rsidRDefault="00097993" w:rsidP="008F691D">
            <w:r>
              <w:rPr>
                <w:rFonts w:eastAsia="Calibri" w:cs="Calibri"/>
                <w:b/>
                <w:bCs/>
                <w:color w:val="FFFFFF"/>
                <w:sz w:val="20"/>
                <w:szCs w:val="20"/>
              </w:rPr>
              <w:t>Law / Instrument</w:t>
            </w:r>
          </w:p>
        </w:tc>
        <w:tc>
          <w:tcPr>
            <w:tcW w:w="0" w:type="auto"/>
            <w:tcBorders>
              <w:top w:val="single" w:sz="4" w:space="0" w:color="B0C8D4"/>
              <w:left w:val="single" w:sz="4" w:space="0" w:color="B0C8D4"/>
              <w:bottom w:val="single" w:sz="4" w:space="0" w:color="B0C8D4"/>
              <w:right w:val="single" w:sz="4" w:space="0" w:color="B0C8D4"/>
            </w:tcBorders>
            <w:shd w:val="clear" w:color="auto" w:fill="0D1B2A"/>
            <w:tcMar>
              <w:top w:w="100" w:type="dxa"/>
              <w:left w:w="140" w:type="dxa"/>
              <w:bottom w:w="100" w:type="dxa"/>
              <w:right w:w="140" w:type="dxa"/>
            </w:tcMar>
            <w:vAlign w:val="center"/>
          </w:tcPr>
          <w:p w14:paraId="22C2306B" w14:textId="77777777" w:rsidR="00097993" w:rsidRDefault="00097993" w:rsidP="008F691D">
            <w:r>
              <w:rPr>
                <w:rFonts w:eastAsia="Calibri" w:cs="Calibri"/>
                <w:b/>
                <w:bCs/>
                <w:color w:val="FFFFFF"/>
                <w:sz w:val="20"/>
                <w:szCs w:val="20"/>
              </w:rPr>
              <w:t>Key Sovereign AI Implication</w:t>
            </w:r>
          </w:p>
        </w:tc>
      </w:tr>
      <w:tr w:rsidR="00097993" w14:paraId="4C19E929" w14:textId="77777777" w:rsidTr="002E012F">
        <w:tc>
          <w:tcPr>
            <w:tcW w:w="197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31A79501" w14:textId="77777777" w:rsidR="00097993" w:rsidRPr="00097993" w:rsidRDefault="00097993" w:rsidP="008F691D">
            <w:r>
              <w:rPr>
                <w:rFonts w:eastAsia="Calibri" w:cs="Calibri"/>
                <w:b/>
                <w:bCs/>
                <w:color w:val="1A2B3C"/>
              </w:rPr>
              <w:t>United States</w:t>
            </w:r>
          </w:p>
        </w:tc>
        <w:tc>
          <w:tcPr>
            <w:tcW w:w="230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050C0F13" w14:textId="77777777" w:rsidR="00097993" w:rsidRPr="00097993" w:rsidRDefault="00097993" w:rsidP="008F691D">
            <w:pPr>
              <w:rPr>
                <w:szCs w:val="22"/>
              </w:rPr>
            </w:pPr>
            <w:r>
              <w:rPr>
                <w:rFonts w:eastAsia="Calibri" w:cs="Calibri"/>
                <w:color w:val="1A2B3C"/>
                <w:szCs w:val="22"/>
              </w:rPr>
              <w:t>CLOUD Act 2018 (amends Stored Communications Act)</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3AAAF8DC" w14:textId="77777777" w:rsidR="00097993" w:rsidRPr="00097993" w:rsidRDefault="00097993" w:rsidP="008F691D">
            <w:pPr>
              <w:rPr>
                <w:sz w:val="20"/>
                <w:szCs w:val="20"/>
              </w:rPr>
            </w:pPr>
            <w:r>
              <w:rPr>
                <w:rFonts w:eastAsia="Calibri" w:cs="Calibri"/>
                <w:color w:val="1A2B3C"/>
                <w:sz w:val="20"/>
                <w:szCs w:val="20"/>
              </w:rPr>
              <w:t>Compels US-incorporated providers to produce data regardless of physical storage location. Contractual protections and data residency alone cannot defeat it. Customer-managed keys in sovereign HSMs are the primary technical countermeasure.</w:t>
            </w:r>
          </w:p>
        </w:tc>
      </w:tr>
      <w:tr w:rsidR="00097993" w14:paraId="5B62E0F2" w14:textId="77777777" w:rsidTr="002E012F">
        <w:tc>
          <w:tcPr>
            <w:tcW w:w="1975" w:type="dxa"/>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1912B08D" w14:textId="77777777" w:rsidR="00097993" w:rsidRPr="00097993" w:rsidRDefault="00097993" w:rsidP="008F691D">
            <w:r>
              <w:rPr>
                <w:rFonts w:eastAsia="Calibri" w:cs="Calibri"/>
                <w:b/>
                <w:bCs/>
                <w:color w:val="1A2B3C"/>
              </w:rPr>
              <w:t>United Kingdom</w:t>
            </w:r>
          </w:p>
        </w:tc>
        <w:tc>
          <w:tcPr>
            <w:tcW w:w="2305" w:type="dxa"/>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7D0BBEDA" w14:textId="77777777" w:rsidR="00097993" w:rsidRPr="00097993" w:rsidRDefault="00097993" w:rsidP="008F691D">
            <w:pPr>
              <w:rPr>
                <w:szCs w:val="22"/>
              </w:rPr>
            </w:pPr>
            <w:r>
              <w:rPr>
                <w:rFonts w:eastAsia="Calibri" w:cs="Calibri"/>
                <w:color w:val="1A2B3C"/>
                <w:szCs w:val="22"/>
              </w:rPr>
              <w:t>Crime (Overseas Production Orders) Act 2019</w:t>
            </w:r>
          </w:p>
        </w:tc>
        <w:tc>
          <w:tcPr>
            <w:tcW w:w="0" w:type="auto"/>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46A5A2C9" w14:textId="77777777" w:rsidR="00097993" w:rsidRPr="00097993" w:rsidRDefault="00097993" w:rsidP="008F691D">
            <w:pPr>
              <w:rPr>
                <w:sz w:val="20"/>
                <w:szCs w:val="20"/>
              </w:rPr>
            </w:pPr>
            <w:r>
              <w:rPr>
                <w:rFonts w:eastAsia="Calibri" w:cs="Calibri"/>
                <w:color w:val="1A2B3C"/>
                <w:sz w:val="20"/>
                <w:szCs w:val="20"/>
              </w:rPr>
              <w:t>Bilateral CLOUD Act agreement with the US in force: UK and US law enforcement can directly request provider data in each other's jurisdiction, bypassing MLAT delays. Assess provider UK incorporation when designing sovereign stacks.</w:t>
            </w:r>
          </w:p>
        </w:tc>
      </w:tr>
      <w:tr w:rsidR="00097993" w14:paraId="467A018D" w14:textId="77777777" w:rsidTr="002E012F">
        <w:tc>
          <w:tcPr>
            <w:tcW w:w="197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7B5C7B47" w14:textId="77777777" w:rsidR="00097993" w:rsidRPr="00097993" w:rsidRDefault="00097993" w:rsidP="008F691D">
            <w:r>
              <w:rPr>
                <w:rFonts w:eastAsia="Calibri" w:cs="Calibri"/>
                <w:b/>
                <w:bCs/>
                <w:color w:val="1A2B3C"/>
              </w:rPr>
              <w:t>Australia</w:t>
            </w:r>
          </w:p>
        </w:tc>
        <w:tc>
          <w:tcPr>
            <w:tcW w:w="230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25F24B0E" w14:textId="77777777" w:rsidR="00097993" w:rsidRPr="00097993" w:rsidRDefault="00097993" w:rsidP="008F691D">
            <w:pPr>
              <w:rPr>
                <w:szCs w:val="22"/>
              </w:rPr>
            </w:pPr>
            <w:r>
              <w:rPr>
                <w:rFonts w:eastAsia="Calibri" w:cs="Calibri"/>
                <w:color w:val="1A2B3C"/>
                <w:szCs w:val="22"/>
              </w:rPr>
              <w:t>TOLA Act 2018 (Telecommunications and Other Legislation Amendment)</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5B362017" w14:textId="77777777" w:rsidR="00097993" w:rsidRPr="00097993" w:rsidRDefault="00097993" w:rsidP="008F691D">
            <w:pPr>
              <w:rPr>
                <w:sz w:val="20"/>
                <w:szCs w:val="20"/>
              </w:rPr>
            </w:pPr>
            <w:r>
              <w:rPr>
                <w:rFonts w:eastAsia="Calibri" w:cs="Calibri"/>
                <w:color w:val="1A2B3C"/>
                <w:sz w:val="20"/>
                <w:szCs w:val="20"/>
              </w:rPr>
              <w:t>Goes beyond CLOUD Act: can compel providers to build technical capabilities assisting access to encrypted communications. Significant risk for encryption-dependent sovereign architectures using Australian-jurisdiction providers.</w:t>
            </w:r>
          </w:p>
        </w:tc>
      </w:tr>
      <w:tr w:rsidR="00097993" w14:paraId="683605AE" w14:textId="77777777" w:rsidTr="002E012F">
        <w:tc>
          <w:tcPr>
            <w:tcW w:w="1975" w:type="dxa"/>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519A46FA" w14:textId="77777777" w:rsidR="00097993" w:rsidRPr="00097993" w:rsidRDefault="00097993" w:rsidP="008F691D">
            <w:r>
              <w:rPr>
                <w:rFonts w:eastAsia="Calibri" w:cs="Calibri"/>
                <w:b/>
                <w:bCs/>
                <w:color w:val="1A2B3C"/>
              </w:rPr>
              <w:t>European Union</w:t>
            </w:r>
          </w:p>
        </w:tc>
        <w:tc>
          <w:tcPr>
            <w:tcW w:w="2305" w:type="dxa"/>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26A1CCF9" w14:textId="77777777" w:rsidR="00097993" w:rsidRPr="00097993" w:rsidRDefault="00097993" w:rsidP="008F691D">
            <w:pPr>
              <w:rPr>
                <w:szCs w:val="22"/>
              </w:rPr>
            </w:pPr>
            <w:r>
              <w:rPr>
                <w:rFonts w:eastAsia="Calibri" w:cs="Calibri"/>
                <w:color w:val="1A2B3C"/>
                <w:szCs w:val="22"/>
              </w:rPr>
              <w:t>e-Evidence Regulation (finalized 2023)</w:t>
            </w:r>
          </w:p>
        </w:tc>
        <w:tc>
          <w:tcPr>
            <w:tcW w:w="0" w:type="auto"/>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2841325E" w14:textId="77777777" w:rsidR="00097993" w:rsidRPr="00097993" w:rsidRDefault="00097993" w:rsidP="008F691D">
            <w:pPr>
              <w:rPr>
                <w:sz w:val="20"/>
                <w:szCs w:val="20"/>
              </w:rPr>
            </w:pPr>
            <w:r>
              <w:rPr>
                <w:rFonts w:eastAsia="Calibri" w:cs="Calibri"/>
                <w:color w:val="1A2B3C"/>
                <w:sz w:val="20"/>
                <w:szCs w:val="20"/>
              </w:rPr>
              <w:t>EU-wide mechanism for cross-border law enforcement access to electronic evidence, with judicial oversight. More procedurally constrained than CLOUD Act but materially expands access across all 27 member states.</w:t>
            </w:r>
          </w:p>
        </w:tc>
      </w:tr>
      <w:tr w:rsidR="00097993" w14:paraId="6AD613FD" w14:textId="77777777" w:rsidTr="002E012F">
        <w:tc>
          <w:tcPr>
            <w:tcW w:w="197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7B84D3A0" w14:textId="77777777" w:rsidR="00097993" w:rsidRPr="00097993" w:rsidRDefault="00097993" w:rsidP="008F691D">
            <w:r>
              <w:rPr>
                <w:rFonts w:eastAsia="Calibri" w:cs="Calibri"/>
                <w:b/>
                <w:bCs/>
                <w:color w:val="1A2B3C"/>
              </w:rPr>
              <w:t>China</w:t>
            </w:r>
          </w:p>
        </w:tc>
        <w:tc>
          <w:tcPr>
            <w:tcW w:w="2305" w:type="dxa"/>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31B7A526" w14:textId="77777777" w:rsidR="00097993" w:rsidRPr="00097993" w:rsidRDefault="00097993" w:rsidP="008F691D">
            <w:pPr>
              <w:rPr>
                <w:szCs w:val="22"/>
              </w:rPr>
            </w:pPr>
            <w:r>
              <w:rPr>
                <w:rFonts w:eastAsia="Calibri" w:cs="Calibri"/>
                <w:color w:val="1A2B3C"/>
                <w:szCs w:val="22"/>
              </w:rPr>
              <w:t>National Security Law + Cybersecurity Law</w:t>
            </w:r>
          </w:p>
        </w:tc>
        <w:tc>
          <w:tcPr>
            <w:tcW w:w="0" w:type="auto"/>
            <w:tcBorders>
              <w:top w:val="single" w:sz="4" w:space="0" w:color="B0C8D4"/>
              <w:left w:val="single" w:sz="4" w:space="0" w:color="B0C8D4"/>
              <w:bottom w:val="single" w:sz="4" w:space="0" w:color="B0C8D4"/>
              <w:right w:val="single" w:sz="4" w:space="0" w:color="B0C8D4"/>
            </w:tcBorders>
            <w:shd w:val="clear" w:color="auto" w:fill="FFFFFF"/>
            <w:tcMar>
              <w:top w:w="80" w:type="dxa"/>
              <w:left w:w="140" w:type="dxa"/>
              <w:bottom w:w="80" w:type="dxa"/>
              <w:right w:w="140" w:type="dxa"/>
            </w:tcMar>
            <w:vAlign w:val="center"/>
          </w:tcPr>
          <w:p w14:paraId="6D477EBD" w14:textId="77777777" w:rsidR="00097993" w:rsidRPr="00097993" w:rsidRDefault="00097993" w:rsidP="008F691D">
            <w:pPr>
              <w:rPr>
                <w:sz w:val="20"/>
                <w:szCs w:val="20"/>
              </w:rPr>
            </w:pPr>
            <w:r>
              <w:rPr>
                <w:rFonts w:eastAsia="Calibri" w:cs="Calibri"/>
                <w:color w:val="1A2B3C"/>
                <w:sz w:val="20"/>
                <w:szCs w:val="20"/>
              </w:rPr>
              <w:t>Requires any entity operating in China to cooperate with state intelligence and law enforcement on demand — no judicial check. Primary driver for excluding Chinese-jurisdiction providers from sovereign AI supply chains in many regions.</w:t>
            </w:r>
          </w:p>
        </w:tc>
      </w:tr>
      <w:tr w:rsidR="00097993" w14:paraId="0547E170" w14:textId="77777777" w:rsidTr="002E012F">
        <w:tc>
          <w:tcPr>
            <w:tcW w:w="1975" w:type="dxa"/>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31C9D084" w14:textId="77777777" w:rsidR="00097993" w:rsidRPr="00097993" w:rsidRDefault="00097993" w:rsidP="008F691D">
            <w:r>
              <w:rPr>
                <w:rFonts w:eastAsia="Calibri" w:cs="Calibri"/>
                <w:b/>
                <w:bCs/>
                <w:color w:val="1A2B3C"/>
              </w:rPr>
              <w:t>Russia</w:t>
            </w:r>
          </w:p>
        </w:tc>
        <w:tc>
          <w:tcPr>
            <w:tcW w:w="2305" w:type="dxa"/>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26511852" w14:textId="77777777" w:rsidR="00097993" w:rsidRPr="00097993" w:rsidRDefault="00097993" w:rsidP="008F691D">
            <w:pPr>
              <w:rPr>
                <w:szCs w:val="22"/>
              </w:rPr>
            </w:pPr>
            <w:r>
              <w:rPr>
                <w:rFonts w:eastAsia="Calibri" w:cs="Calibri"/>
                <w:color w:val="1A2B3C"/>
                <w:szCs w:val="22"/>
              </w:rPr>
              <w:t>Yarovaya Law 2016</w:t>
            </w:r>
          </w:p>
        </w:tc>
        <w:tc>
          <w:tcPr>
            <w:tcW w:w="0" w:type="auto"/>
            <w:tcBorders>
              <w:top w:val="single" w:sz="4" w:space="0" w:color="B0C8D4"/>
              <w:left w:val="single" w:sz="4" w:space="0" w:color="B0C8D4"/>
              <w:bottom w:val="single" w:sz="4" w:space="0" w:color="B0C8D4"/>
              <w:right w:val="single" w:sz="4" w:space="0" w:color="B0C8D4"/>
            </w:tcBorders>
            <w:shd w:val="clear" w:color="auto" w:fill="D6EEF2"/>
            <w:tcMar>
              <w:top w:w="80" w:type="dxa"/>
              <w:left w:w="140" w:type="dxa"/>
              <w:bottom w:w="80" w:type="dxa"/>
              <w:right w:w="140" w:type="dxa"/>
            </w:tcMar>
            <w:vAlign w:val="center"/>
          </w:tcPr>
          <w:p w14:paraId="101EB664" w14:textId="77777777" w:rsidR="00097993" w:rsidRPr="00097993" w:rsidRDefault="00097993" w:rsidP="008F691D">
            <w:pPr>
              <w:rPr>
                <w:sz w:val="20"/>
                <w:szCs w:val="20"/>
              </w:rPr>
            </w:pPr>
            <w:r>
              <w:rPr>
                <w:rFonts w:eastAsia="Calibri" w:cs="Calibri"/>
                <w:color w:val="1A2B3C"/>
                <w:sz w:val="20"/>
                <w:szCs w:val="20"/>
              </w:rPr>
              <w:t xml:space="preserve">Mandates domestic storage of user communications data for extended periods and availability on request. </w:t>
            </w:r>
            <w:r>
              <w:rPr>
                <w:rFonts w:eastAsia="Calibri" w:cs="Calibri"/>
                <w:color w:val="1A2B3C"/>
                <w:sz w:val="20"/>
                <w:szCs w:val="20"/>
              </w:rPr>
              <w:lastRenderedPageBreak/>
              <w:t>Effectively excludes Russian-jurisdiction providers from sovereign architectures outside Russia.</w:t>
            </w:r>
          </w:p>
        </w:tc>
      </w:tr>
    </w:tbl>
    <w:p w14:paraId="304CA2C8" w14:textId="77777777" w:rsidR="00E71A7A" w:rsidRPr="00810A46" w:rsidRDefault="00E71A7A" w:rsidP="00E71A7A">
      <w:pPr>
        <w:pStyle w:val="Heading2"/>
      </w:pPr>
      <w:bookmarkStart w:id="35" w:name="_Toc224031131"/>
      <w:r>
        <w:lastRenderedPageBreak/>
        <w:t>Privacy vs Jurisdiction</w:t>
      </w:r>
      <w:bookmarkEnd w:id="35"/>
    </w:p>
    <w:p w14:paraId="070D9BA4" w14:textId="77777777" w:rsidR="00E71A7A" w:rsidRPr="00810A46" w:rsidRDefault="00E71A7A" w:rsidP="00E71A7A">
      <w:r>
        <w:t>Data Privacy protection and Jurisdiction Laws are in contention with each other. GDPR says it protects user data from unauthorized access. The CLOUD Act says hand over data when asked. Governments are simultaneously passing both types of laws, which creates genuine conflicts that software architects, lawyers, and policymakers are still actively trying to resolve.</w:t>
      </w:r>
    </w:p>
    <w:p w14:paraId="301892E8" w14:textId="77777777" w:rsidR="00E71A7A" w:rsidRPr="00810A46" w:rsidRDefault="00E71A7A" w:rsidP="00E71A7A">
      <w:r>
        <w:t xml:space="preserve">This tension is precisely why Sovereign Cloud and data localization have become so strategically important. Nations want to ensure that when data about their citizens is accessed by a government, it is </w:t>
      </w:r>
      <w:r>
        <w:rPr>
          <w:i/>
          <w:iCs/>
        </w:rPr>
        <w:t>their</w:t>
      </w:r>
      <w:r>
        <w:t xml:space="preserve"> government doing the accessing under </w:t>
      </w:r>
      <w:r>
        <w:rPr>
          <w:i/>
          <w:iCs/>
        </w:rPr>
        <w:t>their</w:t>
      </w:r>
      <w:r>
        <w:t xml:space="preserve"> legal framework, not a foreign power leveraging a cloud provider's global infrastructure.</w:t>
      </w:r>
    </w:p>
    <w:p w14:paraId="36532F5C" w14:textId="0668E7EA" w:rsidR="00E71A7A" w:rsidRPr="00810A46" w:rsidRDefault="00E71A7A" w:rsidP="00E71A7A">
      <w:r>
        <w:t>Understanding this landscape is no longer optional in building system architecture. The systems you build will operate in this legal environment whether you design for it or not.</w:t>
      </w:r>
    </w:p>
    <w:p w14:paraId="05011CB5" w14:textId="3D68171D" w:rsidR="00CC01A8" w:rsidRPr="00DA3D3C" w:rsidRDefault="005D1A03" w:rsidP="00CC01A8">
      <w:pPr>
        <w:pStyle w:val="Heading2"/>
      </w:pPr>
      <w:bookmarkStart w:id="36" w:name="_Toc224031132"/>
      <w:r>
        <w:t>Legal Risk Considerations</w:t>
      </w:r>
      <w:bookmarkEnd w:id="36"/>
    </w:p>
    <w:p w14:paraId="16B70826" w14:textId="36C274AE" w:rsidR="00CC01A8" w:rsidRDefault="00CC01A8" w:rsidP="00CC01A8">
      <w:r>
        <w:t xml:space="preserve">For sovereign AI programs, the CLOUD Act represents a fundamental and currently unresolved legal challenge. It is a </w:t>
      </w:r>
      <w:r>
        <w:rPr>
          <w:b/>
          <w:bCs/>
        </w:rPr>
        <w:t>federal statutory law with extraterritorial reach</w:t>
      </w:r>
      <w:r>
        <w:t xml:space="preserve">, backed by the coercive power of the US government, which </w:t>
      </w:r>
      <w:r>
        <w:rPr>
          <w:b/>
          <w:bCs/>
        </w:rPr>
        <w:t>cannot be contracted around</w:t>
      </w:r>
      <w:r>
        <w:t xml:space="preserve"> and can only be </w:t>
      </w:r>
      <w:r>
        <w:rPr>
          <w:b/>
          <w:bCs/>
        </w:rPr>
        <w:t>technically mitigated</w:t>
      </w:r>
      <w:r>
        <w:t xml:space="preserve"> rather than fully defeated when US-jurisdiction providers are involved anywhere in your stack.</w:t>
      </w:r>
    </w:p>
    <w:tbl>
      <w:tblPr>
        <w:tblStyle w:val="TableGrid"/>
        <w:tblW w:w="0" w:type="auto"/>
        <w:tblBorders>
          <w:top w:val="none" w:sz="0" w:space="0" w:color="auto"/>
          <w:left w:val="single" w:sz="24" w:space="0" w:color="215E99" w:themeColor="text2" w:themeTint="BF"/>
          <w:bottom w:val="none" w:sz="0" w:space="0" w:color="auto"/>
          <w:right w:val="none" w:sz="0" w:space="0" w:color="auto"/>
          <w:insideH w:val="none" w:sz="0" w:space="0" w:color="auto"/>
          <w:insideV w:val="none" w:sz="0" w:space="0" w:color="auto"/>
        </w:tblBorders>
        <w:shd w:val="clear" w:color="auto" w:fill="CAEDFB" w:themeFill="accent4" w:themeFillTint="33"/>
        <w:tblCellMar>
          <w:top w:w="144" w:type="dxa"/>
          <w:left w:w="144" w:type="dxa"/>
          <w:bottom w:w="144" w:type="dxa"/>
          <w:right w:w="144" w:type="dxa"/>
        </w:tblCellMar>
        <w:tblLook w:val="04A0" w:firstRow="1" w:lastRow="0" w:firstColumn="1" w:lastColumn="0" w:noHBand="0" w:noVBand="1"/>
      </w:tblPr>
      <w:tblGrid>
        <w:gridCol w:w="9330"/>
      </w:tblGrid>
      <w:tr w:rsidR="00AF73C8" w14:paraId="124CE51F" w14:textId="77777777" w:rsidTr="00BA286F">
        <w:tc>
          <w:tcPr>
            <w:tcW w:w="0" w:type="auto"/>
            <w:shd w:val="clear" w:color="auto" w:fill="CAEDFB" w:themeFill="accent4" w:themeFillTint="33"/>
          </w:tcPr>
          <w:p w14:paraId="6F526B44" w14:textId="5778C6A7" w:rsidR="00AF73C8" w:rsidRPr="00AF73C8" w:rsidRDefault="003F23B7" w:rsidP="001D1A28">
            <w:pPr>
              <w:rPr>
                <w:b/>
                <w:bCs/>
                <w:color w:val="156082" w:themeColor="accent1"/>
              </w:rPr>
            </w:pPr>
            <w:r>
              <w:rPr>
                <w:b/>
                <w:bCs/>
                <w:color w:val="156082" w:themeColor="accent1"/>
              </w:rPr>
              <w:t>The Most Legally Defensible Architecture</w:t>
            </w:r>
          </w:p>
          <w:p w14:paraId="78B3518F" w14:textId="238123A6" w:rsidR="003F23B7" w:rsidRPr="00BA286F" w:rsidRDefault="003342F7" w:rsidP="001D1A28">
            <w:pPr>
              <w:rPr>
                <w:sz w:val="20"/>
                <w:szCs w:val="22"/>
              </w:rPr>
            </w:pPr>
            <w:r w:rsidRPr="00256FB5">
              <w:rPr>
                <w:sz w:val="20"/>
                <w:szCs w:val="22"/>
              </w:rPr>
              <w:t>M</w:t>
            </w:r>
            <w:r w:rsidR="003F23B7" w:rsidRPr="00256FB5">
              <w:rPr>
                <w:sz w:val="20"/>
                <w:szCs w:val="22"/>
              </w:rPr>
              <w:t>inimize dependency on US-jurisdiction providers for the most sensitive workloads</w:t>
            </w:r>
            <w:r w:rsidRPr="00256FB5">
              <w:rPr>
                <w:sz w:val="20"/>
                <w:szCs w:val="22"/>
              </w:rPr>
              <w:t>. I</w:t>
            </w:r>
            <w:r w:rsidR="003F23B7" w:rsidRPr="00256FB5">
              <w:rPr>
                <w:sz w:val="20"/>
                <w:szCs w:val="22"/>
              </w:rPr>
              <w:t>mplement customer-managed encryption with sovereign key management as a technical barrier</w:t>
            </w:r>
            <w:r w:rsidRPr="00256FB5">
              <w:rPr>
                <w:sz w:val="20"/>
                <w:szCs w:val="22"/>
              </w:rPr>
              <w:t>. M</w:t>
            </w:r>
            <w:r w:rsidR="003F23B7" w:rsidRPr="00256FB5">
              <w:rPr>
                <w:sz w:val="20"/>
                <w:szCs w:val="22"/>
              </w:rPr>
              <w:t>aintain legal counsel familiar with both US law enforcement practice and your domestic jurisdiction</w:t>
            </w:r>
            <w:r w:rsidR="00BD2A91" w:rsidRPr="00256FB5">
              <w:rPr>
                <w:sz w:val="20"/>
                <w:szCs w:val="22"/>
              </w:rPr>
              <w:t>. M</w:t>
            </w:r>
            <w:r w:rsidR="003F23B7" w:rsidRPr="00256FB5">
              <w:rPr>
                <w:sz w:val="20"/>
                <w:szCs w:val="22"/>
              </w:rPr>
              <w:t xml:space="preserve">onitor the evolving legal landscape </w:t>
            </w:r>
            <w:r w:rsidR="00BD2A91" w:rsidRPr="00256FB5">
              <w:rPr>
                <w:sz w:val="20"/>
                <w:szCs w:val="22"/>
              </w:rPr>
              <w:t>as an ongoing program activity, not a one-time assessment</w:t>
            </w:r>
            <w:r w:rsidR="003F23B7" w:rsidRPr="003F23B7">
              <w:rPr>
                <w:sz w:val="20"/>
                <w:szCs w:val="22"/>
              </w:rPr>
              <w:t xml:space="preserve">. </w:t>
            </w:r>
          </w:p>
        </w:tc>
      </w:tr>
    </w:tbl>
    <w:p w14:paraId="4EC1A202" w14:textId="77777777" w:rsidR="004013FE" w:rsidRDefault="004013FE" w:rsidP="00CC01A8"/>
    <w:p w14:paraId="1E6AC85A" w14:textId="4F216236" w:rsidR="00CC01A8" w:rsidRPr="00DA3D3C" w:rsidRDefault="00CC01A8" w:rsidP="00CC01A8">
      <w:r>
        <w:t xml:space="preserve">The CLOUD Act is a law, and like all laws it can be changed, challenged, and navigated. </w:t>
      </w:r>
    </w:p>
    <w:p w14:paraId="5B631DEC" w14:textId="77777777" w:rsidR="0080095E" w:rsidRDefault="0080095E">
      <w:pPr>
        <w:rPr>
          <w:rFonts w:eastAsiaTheme="majorEastAsia" w:cstheme="majorBidi"/>
          <w:b/>
          <w:color w:val="0F4761" w:themeColor="accent1" w:themeShade="BF"/>
          <w:sz w:val="36"/>
          <w:szCs w:val="40"/>
        </w:rPr>
      </w:pPr>
      <w:r>
        <w:br w:type="page"/>
      </w:r>
    </w:p>
    <w:p w14:paraId="6E4D1346" w14:textId="78792A92" w:rsidR="00EB43F5" w:rsidRDefault="00EB43F5" w:rsidP="00EB43F5">
      <w:pPr>
        <w:pStyle w:val="Heading1"/>
      </w:pPr>
      <w:bookmarkStart w:id="37" w:name="_Toc224031133"/>
      <w:r>
        <w:lastRenderedPageBreak/>
        <w:t>Supply chain and Chain-of-Custody</w:t>
      </w:r>
      <w:bookmarkEnd w:id="37"/>
    </w:p>
    <w:p w14:paraId="6C70C753" w14:textId="7F5AE4C7" w:rsidR="00514102" w:rsidRDefault="00514102" w:rsidP="003C7ED8">
      <w:pPr>
        <w:spacing w:before="80" w:after="80"/>
        <w:jc w:val="both"/>
      </w:pPr>
      <w:r>
        <w:rPr>
          <w:rFonts w:eastAsia="Calibri" w:cs="Calibri"/>
          <w:color w:val="333333"/>
          <w:szCs w:val="22"/>
        </w:rPr>
        <w:t>Before you can build sovereign AI infrastructure, you must understand the supply chain that underpins it. This section traces the "dirt to data" chain-of-custody: from raw minerals through chip design, fabrication, packaging, systems integration, and software — mapping every chokepoint where foreign governments could interrupt your supply chain or compromise your sovereignty.</w:t>
      </w:r>
    </w:p>
    <w:p w14:paraId="08465693" w14:textId="77777777" w:rsidR="003C7ED8" w:rsidRDefault="003C7ED8" w:rsidP="003C7ED8">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4102" w14:paraId="17F70043" w14:textId="77777777" w:rsidTr="001D1A28">
        <w:tc>
          <w:tcPr>
            <w:tcW w:w="9360" w:type="dxa"/>
            <w:tcBorders>
              <w:top w:val="single" w:sz="1" w:space="0" w:color="2B7BE8"/>
              <w:left w:val="single" w:sz="1" w:space="0" w:color="2B7BE8"/>
              <w:bottom w:val="single" w:sz="1" w:space="0" w:color="2B7BE8"/>
              <w:right w:val="single" w:sz="1" w:space="0" w:color="2B7BE8"/>
            </w:tcBorders>
            <w:shd w:val="clear" w:color="auto" w:fill="D6E8FB"/>
            <w:tcMar>
              <w:top w:w="120" w:type="dxa"/>
              <w:left w:w="240" w:type="dxa"/>
              <w:bottom w:w="120" w:type="dxa"/>
              <w:right w:w="240" w:type="dxa"/>
            </w:tcMar>
          </w:tcPr>
          <w:p w14:paraId="3D9BAADF" w14:textId="77777777" w:rsidR="00514102" w:rsidRDefault="00514102" w:rsidP="001D1A28">
            <w:pPr>
              <w:jc w:val="both"/>
            </w:pPr>
            <w:r>
              <w:rPr>
                <w:rFonts w:eastAsia="Calibri" w:cs="Calibri"/>
                <w:b/>
                <w:bCs/>
                <w:color w:val="1A4C8E"/>
                <w:szCs w:val="22"/>
              </w:rPr>
              <w:t>Readers who accept hardware-level risk as a given may proceed to Section 6: Systems. Organizations building toward full Trusted AI — where provenance, auditability, and legal defensibility are demonstrable across the entire stack — should work through this section to understand where the chain of trust must begin.</w:t>
            </w:r>
          </w:p>
        </w:tc>
      </w:tr>
    </w:tbl>
    <w:p w14:paraId="5089542A" w14:textId="77777777" w:rsidR="003C7ED8" w:rsidRDefault="003C7ED8" w:rsidP="00B80C51">
      <w:pPr>
        <w:jc w:val="center"/>
      </w:pPr>
    </w:p>
    <w:p w14:paraId="2F30D38B" w14:textId="7DF8E580" w:rsidR="00810A46" w:rsidRDefault="00645995" w:rsidP="00B80C51">
      <w:pPr>
        <w:jc w:val="center"/>
      </w:pPr>
      <w:r>
        <w:rPr>
          <w:noProof/>
        </w:rPr>
        <w:drawing>
          <wp:inline distT="0" distB="0" distL="0" distR="0" wp14:anchorId="5413234F" wp14:editId="66B3C940">
            <wp:extent cx="6203950" cy="3489960"/>
            <wp:effectExtent l="0" t="0" r="6350" b="0"/>
            <wp:docPr id="825721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21829" name="Picture 8257218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03950" cy="3489960"/>
                    </a:xfrm>
                    <a:prstGeom prst="rect">
                      <a:avLst/>
                    </a:prstGeom>
                  </pic:spPr>
                </pic:pic>
              </a:graphicData>
            </a:graphic>
          </wp:inline>
        </w:drawing>
      </w:r>
    </w:p>
    <w:p w14:paraId="112658C1" w14:textId="2A4046E5" w:rsidR="00810A46" w:rsidRPr="00810A46" w:rsidRDefault="00150303" w:rsidP="00150303">
      <w:pPr>
        <w:pStyle w:val="Heading2"/>
      </w:pPr>
      <w:bookmarkStart w:id="38" w:name="_Toc224031134"/>
      <w:r>
        <w:t xml:space="preserve">Hardware: </w:t>
      </w:r>
      <w:r w:rsidR="00810A46">
        <w:t>Raw Materials and Critical Minerals</w:t>
      </w:r>
      <w:bookmarkEnd w:id="38"/>
    </w:p>
    <w:p w14:paraId="07279FE9" w14:textId="77777777" w:rsidR="00810A46" w:rsidRPr="00810A46" w:rsidRDefault="00810A46" w:rsidP="00810A46">
      <w:r>
        <w:t>Everything starts here, and this layer is already a sovereignty problem.</w:t>
      </w:r>
    </w:p>
    <w:p w14:paraId="162E5F2D" w14:textId="36244BDA" w:rsidR="00810A46" w:rsidRPr="00810A46" w:rsidRDefault="00810A46" w:rsidP="008C6E7C">
      <w:pPr>
        <w:pStyle w:val="ListParagraph"/>
        <w:numPr>
          <w:ilvl w:val="0"/>
          <w:numId w:val="10"/>
        </w:numPr>
      </w:pPr>
      <w:r>
        <w:rPr>
          <w:b/>
          <w:bCs/>
        </w:rPr>
        <w:t>Silicon</w:t>
      </w:r>
      <w:r>
        <w:t xml:space="preserve"> is abundant and not strategically concerning on its own. But the ultra-pure polysilicon required for semiconductors is a different matter. China produces roughly 80% of the world's solar-grade polysilicon and a dominant share of semiconductor-grade polysilicon.</w:t>
      </w:r>
    </w:p>
    <w:p w14:paraId="0C05F74D" w14:textId="52BCAF22" w:rsidR="00810A46" w:rsidRPr="00810A46" w:rsidRDefault="00810A46" w:rsidP="008C6E7C">
      <w:pPr>
        <w:pStyle w:val="ListParagraph"/>
        <w:numPr>
          <w:ilvl w:val="0"/>
          <w:numId w:val="10"/>
        </w:numPr>
      </w:pPr>
      <w:r>
        <w:rPr>
          <w:b/>
          <w:bCs/>
        </w:rPr>
        <w:t>Rare Earth Elements</w:t>
      </w:r>
      <w:r>
        <w:t xml:space="preserve"> used in chip manufacturing and the broader electronics stack minerals such as neodymium, dysprosium, terbium are overwhelmingly mined and processed in China, which controls approximately 60% of global rare earth mining and over 85% of refining capacity.</w:t>
      </w:r>
    </w:p>
    <w:p w14:paraId="5BECF00E" w14:textId="6F0B691F" w:rsidR="00810A46" w:rsidRPr="00810A46" w:rsidRDefault="00810A46" w:rsidP="008C6E7C">
      <w:pPr>
        <w:pStyle w:val="ListParagraph"/>
        <w:numPr>
          <w:ilvl w:val="0"/>
          <w:numId w:val="10"/>
        </w:numPr>
      </w:pPr>
      <w:r>
        <w:rPr>
          <w:b/>
          <w:bCs/>
        </w:rPr>
        <w:lastRenderedPageBreak/>
        <w:t>Gallium and Germanium</w:t>
      </w:r>
      <w:r>
        <w:t xml:space="preserve"> are critical for compound semiconductors used in RF chips and certain AI accelerator components. China produces over 80% of global gallium and 60% of germanium. In 2023 China imposed export restrictions on both materials as a geopolitical countermeasure, signaling its willingness to weaponize this dominance.</w:t>
      </w:r>
    </w:p>
    <w:p w14:paraId="2BC233EF" w14:textId="77777777" w:rsidR="00810A46" w:rsidRPr="00810A46" w:rsidRDefault="00810A46" w:rsidP="008C6E7C">
      <w:pPr>
        <w:pStyle w:val="ListParagraph"/>
        <w:numPr>
          <w:ilvl w:val="0"/>
          <w:numId w:val="10"/>
        </w:numPr>
      </w:pPr>
      <w:r>
        <w:rPr>
          <w:b/>
          <w:bCs/>
        </w:rPr>
        <w:t>Cobalt</w:t>
      </w:r>
      <w:r>
        <w:t xml:space="preserve"> for certain packaging and interconnect processes comes predominantly from the Democratic Republic of Congo, with Chinese companies controlling much of the refining.</w:t>
      </w:r>
    </w:p>
    <w:p w14:paraId="544F3269" w14:textId="77777777" w:rsidR="00810A46" w:rsidRPr="00810A46" w:rsidRDefault="00810A46" w:rsidP="008C6E7C">
      <w:pPr>
        <w:pStyle w:val="ListParagraph"/>
        <w:numPr>
          <w:ilvl w:val="0"/>
          <w:numId w:val="10"/>
        </w:numPr>
      </w:pPr>
      <w:r>
        <w:rPr>
          <w:b/>
          <w:bCs/>
        </w:rPr>
        <w:t>Neon, Krypton, and Xenon</w:t>
      </w:r>
      <w:r>
        <w:t xml:space="preserve"> are specialty gases used in lithography lasers. Ukraine historically supplied 70% of the world's neon before the Russian invasion disrupted that supply chain, causing immediate concern across the semiconductor industry.</w:t>
      </w:r>
    </w:p>
    <w:p w14:paraId="7D4DD722" w14:textId="77777777" w:rsidR="00810A46" w:rsidRPr="00810A46" w:rsidRDefault="00810A46" w:rsidP="008C6E7C">
      <w:pPr>
        <w:pStyle w:val="ListParagraph"/>
        <w:numPr>
          <w:ilvl w:val="0"/>
          <w:numId w:val="10"/>
        </w:numPr>
      </w:pPr>
      <w:r>
        <w:rPr>
          <w:b/>
          <w:bCs/>
        </w:rPr>
        <w:t>Tantalum and Tungsten</w:t>
      </w:r>
      <w:r>
        <w:t xml:space="preserve"> used in chip fabrication equipment and wiring layers have similarly concentrated supply chains.</w:t>
      </w:r>
    </w:p>
    <w:tbl>
      <w:tblPr>
        <w:tblStyle w:val="TableGrid"/>
        <w:tblW w:w="0" w:type="auto"/>
        <w:tblBorders>
          <w:top w:val="none" w:sz="0" w:space="0" w:color="auto"/>
          <w:left w:val="single" w:sz="24" w:space="0" w:color="EE0000"/>
          <w:bottom w:val="none" w:sz="0" w:space="0" w:color="auto"/>
          <w:right w:val="none" w:sz="0" w:space="0" w:color="auto"/>
          <w:insideH w:val="none" w:sz="0" w:space="0" w:color="auto"/>
          <w:insideV w:val="none" w:sz="0" w:space="0" w:color="auto"/>
        </w:tblBorders>
        <w:shd w:val="clear" w:color="auto" w:fill="FFFF00"/>
        <w:tblCellMar>
          <w:top w:w="144" w:type="dxa"/>
          <w:left w:w="144" w:type="dxa"/>
          <w:bottom w:w="144" w:type="dxa"/>
          <w:right w:w="144" w:type="dxa"/>
        </w:tblCellMar>
        <w:tblLook w:val="04A0" w:firstRow="1" w:lastRow="0" w:firstColumn="1" w:lastColumn="0" w:noHBand="0" w:noVBand="1"/>
      </w:tblPr>
      <w:tblGrid>
        <w:gridCol w:w="9330"/>
      </w:tblGrid>
      <w:tr w:rsidR="00725670" w14:paraId="797228F5" w14:textId="77777777" w:rsidTr="00BA286F">
        <w:tc>
          <w:tcPr>
            <w:tcW w:w="9350" w:type="dxa"/>
            <w:shd w:val="clear" w:color="auto" w:fill="FFFF00"/>
          </w:tcPr>
          <w:p w14:paraId="4000EAF8" w14:textId="78915C18" w:rsidR="00725670" w:rsidRDefault="00725670" w:rsidP="00BC2847">
            <w:pPr>
              <w:spacing w:after="60"/>
              <w:ind w:left="360"/>
            </w:pPr>
            <w:r w:rsidRPr="00BC2847">
              <w:rPr>
                <w:rFonts w:ascii="Segoe UI Symbol" w:hAnsi="Segoe UI Symbol" w:cs="Segoe UI Symbol"/>
                <w:b/>
                <w:bCs/>
                <w:color w:val="B45309"/>
              </w:rPr>
              <w:t>⚠</w:t>
            </w:r>
            <w:r w:rsidRPr="00BC2847">
              <w:rPr>
                <w:b/>
                <w:bCs/>
                <w:color w:val="B45309"/>
              </w:rPr>
              <w:t xml:space="preserve">  Critical Mineral Reality</w:t>
            </w:r>
          </w:p>
          <w:p w14:paraId="76F03D72" w14:textId="3841CE6D" w:rsidR="00725670" w:rsidRDefault="00725670" w:rsidP="00BA286F">
            <w:pPr>
              <w:ind w:left="360"/>
            </w:pPr>
            <w:r w:rsidRPr="00BC2847">
              <w:rPr>
                <w:color w:val="333333"/>
                <w:sz w:val="20"/>
                <w:szCs w:val="20"/>
              </w:rPr>
              <w:t>You almost certainly cannot trace or control the mineral origins of the chips in your sovereign AI cluster. Several of those minerals flow through jurisdictions that are geopolitical adversaries of Western nations. This is a documented risk to accept, not a problem to solve in the near term.</w:t>
            </w:r>
          </w:p>
        </w:tc>
      </w:tr>
    </w:tbl>
    <w:p w14:paraId="01E29D15" w14:textId="77777777" w:rsidR="00C201AB" w:rsidRDefault="00C201AB" w:rsidP="00810A46"/>
    <w:p w14:paraId="0E828A0D" w14:textId="15DCC093" w:rsidR="00810A46" w:rsidRPr="00810A46" w:rsidRDefault="00810A46" w:rsidP="00150303">
      <w:pPr>
        <w:pStyle w:val="Heading2"/>
      </w:pPr>
      <w:bookmarkStart w:id="39" w:name="_Toc224031135"/>
      <w:r>
        <w:t>Chip Design and Electronic Design Automation (EDA</w:t>
      </w:r>
      <w:r w:rsidR="000E5226">
        <w:t xml:space="preserve"> Tools</w:t>
      </w:r>
      <w:r w:rsidR="008A6171">
        <w:t>)</w:t>
      </w:r>
      <w:bookmarkEnd w:id="39"/>
    </w:p>
    <w:p w14:paraId="5F11188E" w14:textId="66D8D498" w:rsidR="00AC5048" w:rsidRDefault="00AC5048" w:rsidP="00AC5048">
      <w:pPr>
        <w:spacing w:before="80" w:after="80"/>
        <w:jc w:val="both"/>
      </w:pPr>
      <w:r>
        <w:rPr>
          <w:color w:val="333333"/>
        </w:rPr>
        <w:t>Chip design tools are controlled by essentially three American companies: Synopsys, Cadence, and Mentor Graphics (Siemens EDA). Without their software, designing a leading-edge chip is essentially impossible. The US has already used export controls to restrict Chinese access to advanced EDA tools, demonstrating exactly how this chokepoint works in practice.</w:t>
      </w:r>
    </w:p>
    <w:p w14:paraId="51B37167" w14:textId="77777777" w:rsidR="00B22359" w:rsidRDefault="00810A46" w:rsidP="008C6E7C">
      <w:pPr>
        <w:pStyle w:val="ListParagraph"/>
        <w:numPr>
          <w:ilvl w:val="0"/>
          <w:numId w:val="9"/>
        </w:numPr>
      </w:pPr>
      <w:r>
        <w:rPr>
          <w:b/>
          <w:bCs/>
        </w:rPr>
        <w:t>IP Cores and Architecture Licenses.</w:t>
      </w:r>
      <w:r>
        <w:t xml:space="preserve"> Most chips, including AI accelerators, are built on licensed intellectual property.</w:t>
      </w:r>
    </w:p>
    <w:p w14:paraId="1E75407A" w14:textId="348F8E2D" w:rsidR="00B22359" w:rsidRDefault="00810A46" w:rsidP="008C6E7C">
      <w:pPr>
        <w:pStyle w:val="ListParagraph"/>
        <w:numPr>
          <w:ilvl w:val="0"/>
          <w:numId w:val="9"/>
        </w:numPr>
      </w:pPr>
      <w:r>
        <w:rPr>
          <w:b/>
          <w:bCs/>
        </w:rPr>
        <w:t>ARM Holdings</w:t>
      </w:r>
      <w:r>
        <w:t xml:space="preserve"> (owned by SoftBank, headquartered in the UK with deep US ties) licenses the processor architecture used in most mobile and increasingly with data center chips.</w:t>
      </w:r>
    </w:p>
    <w:p w14:paraId="39004EF4" w14:textId="5CCF7981" w:rsidR="00810A46" w:rsidRPr="00810A46" w:rsidRDefault="00810A46" w:rsidP="008C6E7C">
      <w:pPr>
        <w:pStyle w:val="ListParagraph"/>
        <w:numPr>
          <w:ilvl w:val="0"/>
          <w:numId w:val="9"/>
        </w:numPr>
      </w:pPr>
      <w:r>
        <w:rPr>
          <w:b/>
          <w:bCs/>
        </w:rPr>
        <w:t>NVIDIA's CUDA architecture</w:t>
      </w:r>
      <w:r>
        <w:t xml:space="preserve"> is proprietary. </w:t>
      </w:r>
      <w:r>
        <w:rPr>
          <w:b/>
          <w:bCs/>
        </w:rPr>
        <w:t>x86</w:t>
      </w:r>
      <w:r>
        <w:t xml:space="preserve"> is controlled by Intel and AMD. Accessing these architectures requires licensing agreements with companies under US jurisdiction, meaning US export control law governs who can use them.</w:t>
      </w:r>
    </w:p>
    <w:p w14:paraId="5BE1AD39" w14:textId="0BBD9354" w:rsidR="00810A46" w:rsidRPr="00810A46" w:rsidRDefault="00810A46" w:rsidP="00810A46">
      <w:r>
        <w:rPr>
          <w:b/>
          <w:bCs/>
        </w:rPr>
        <w:t>NVIDIA's GPU Architecture</w:t>
      </w:r>
      <w:r>
        <w:t xml:space="preserve"> specifically the H100, H200, and Blackwell series that power virtually every serious AI training cluster is wholly designed in the United States. The architecture itself is American sovereign IP.</w:t>
      </w:r>
    </w:p>
    <w:p w14:paraId="73442E8B" w14:textId="1025EA26" w:rsidR="00810A46" w:rsidRPr="00810A46" w:rsidRDefault="00810A46" w:rsidP="00150303">
      <w:pPr>
        <w:pStyle w:val="Heading2"/>
      </w:pPr>
      <w:bookmarkStart w:id="40" w:name="_Toc224031136"/>
      <w:r>
        <w:t>Semiconductor Fabrication Equipment</w:t>
      </w:r>
      <w:bookmarkEnd w:id="40"/>
    </w:p>
    <w:p w14:paraId="19BA91E5" w14:textId="750CD6BE" w:rsidR="00810A46" w:rsidRPr="00810A46" w:rsidRDefault="00810A46" w:rsidP="00810A46">
      <w:r>
        <w:t xml:space="preserve">This is arguably the </w:t>
      </w:r>
      <w:r>
        <w:rPr>
          <w:b/>
          <w:bCs/>
        </w:rPr>
        <w:t>most critical chokepoint in the entire supply chain</w:t>
      </w:r>
      <w:r>
        <w:t xml:space="preserve"> and the one with the most severe concentration.</w:t>
      </w:r>
    </w:p>
    <w:p w14:paraId="257BBA5C" w14:textId="0DE879D6" w:rsidR="00810A46" w:rsidRPr="00810A46" w:rsidRDefault="00810A46" w:rsidP="008C6E7C">
      <w:pPr>
        <w:pStyle w:val="ListParagraph"/>
        <w:numPr>
          <w:ilvl w:val="0"/>
          <w:numId w:val="11"/>
        </w:numPr>
      </w:pPr>
      <w:r>
        <w:rPr>
          <w:b/>
          <w:bCs/>
        </w:rPr>
        <w:t>Lithography Machines</w:t>
      </w:r>
      <w:r>
        <w:t xml:space="preserve"> are the tools that print circuit patterns onto silicon wafers. For leading-edge chips (anything below 7nm, which includes all modern AI accelerators), there is exactly </w:t>
      </w:r>
      <w:r>
        <w:rPr>
          <w:b/>
          <w:bCs/>
        </w:rPr>
        <w:t>one company in the world</w:t>
      </w:r>
      <w:r>
        <w:t xml:space="preserve"> that makes the required Extreme Ultraviolet (EUV) lithography machines: </w:t>
      </w:r>
      <w:r>
        <w:rPr>
          <w:b/>
          <w:bCs/>
        </w:rPr>
        <w:lastRenderedPageBreak/>
        <w:t>ASML</w:t>
      </w:r>
      <w:r>
        <w:t>, headquartered in the Netherlands. A single EUV machine costs approximately $200 million, weighs 180 tons, contains over 100,000 components, and requires a global supply chain of its own to build. ASML produces roughly 50-60 per year. No other company on earth can make them. The US has successfully pressured the Netherlands to restrict ASML from selling EUV machines to China demonstrating again how a single chokepoint can be weaponized.</w:t>
      </w:r>
    </w:p>
    <w:p w14:paraId="16A92FCB" w14:textId="768F1B31" w:rsidR="00810A46" w:rsidRPr="00810A46" w:rsidRDefault="00810A46" w:rsidP="008C6E7C">
      <w:pPr>
        <w:pStyle w:val="ListParagraph"/>
        <w:numPr>
          <w:ilvl w:val="0"/>
          <w:numId w:val="11"/>
        </w:numPr>
      </w:pPr>
      <w:r>
        <w:rPr>
          <w:b/>
          <w:bCs/>
        </w:rPr>
        <w:t>Deposition and Etching Equipment</w:t>
      </w:r>
      <w:r>
        <w:t xml:space="preserve">. The tools that deposit and remove material layers during fabrication are dominated by </w:t>
      </w:r>
      <w:r>
        <w:rPr>
          <w:b/>
          <w:bCs/>
        </w:rPr>
        <w:t>Applied Materials</w:t>
      </w:r>
      <w:r>
        <w:t xml:space="preserve">, </w:t>
      </w:r>
      <w:r>
        <w:rPr>
          <w:b/>
          <w:bCs/>
        </w:rPr>
        <w:t>Lam Research</w:t>
      </w:r>
      <w:r>
        <w:t xml:space="preserve">, and </w:t>
      </w:r>
      <w:r>
        <w:rPr>
          <w:b/>
          <w:bCs/>
        </w:rPr>
        <w:t>KLA</w:t>
      </w:r>
      <w:r>
        <w:t xml:space="preserve"> (all American), and </w:t>
      </w:r>
      <w:r>
        <w:rPr>
          <w:b/>
          <w:bCs/>
        </w:rPr>
        <w:t>Tokyo Electron</w:t>
      </w:r>
      <w:r>
        <w:t xml:space="preserve"> (Japanese). These four companies collectively control the majority of the global market for wafer fabrication equipment.</w:t>
      </w:r>
    </w:p>
    <w:p w14:paraId="739B4673" w14:textId="5DFE9BD9" w:rsidR="00810A46" w:rsidRPr="00810A46" w:rsidRDefault="00810A46" w:rsidP="008C6E7C">
      <w:pPr>
        <w:pStyle w:val="ListParagraph"/>
        <w:numPr>
          <w:ilvl w:val="0"/>
          <w:numId w:val="11"/>
        </w:numPr>
      </w:pPr>
      <w:r>
        <w:rPr>
          <w:b/>
          <w:bCs/>
        </w:rPr>
        <w:t>Semiconductor-grade chemicals and gases</w:t>
      </w:r>
      <w:r>
        <w:t xml:space="preserve"> used in fabrication such as photoresists, etchants, and dopants are heavily concentrated among Japanese companies including </w:t>
      </w:r>
      <w:r>
        <w:rPr>
          <w:b/>
          <w:bCs/>
        </w:rPr>
        <w:t>JSR</w:t>
      </w:r>
      <w:r>
        <w:t xml:space="preserve">, </w:t>
      </w:r>
      <w:r>
        <w:rPr>
          <w:b/>
          <w:bCs/>
        </w:rPr>
        <w:t>Shin-Etsu Chemical</w:t>
      </w:r>
      <w:r>
        <w:t xml:space="preserve">, and </w:t>
      </w:r>
      <w:r>
        <w:rPr>
          <w:b/>
          <w:bCs/>
        </w:rPr>
        <w:t>Tokyo Ohka Kogyo</w:t>
      </w:r>
      <w:r>
        <w:t>. Japan demonstrated its own willingness to use this as leverage when it restricted exports of semiconductor materials to South Korea in 2019 during a diplomatic dispute.</w:t>
      </w:r>
    </w:p>
    <w:p w14:paraId="128DBF1C" w14:textId="13C3CB98" w:rsidR="00810A46" w:rsidRPr="00810A46" w:rsidRDefault="00810A46" w:rsidP="00150303">
      <w:pPr>
        <w:pStyle w:val="Heading2"/>
      </w:pPr>
      <w:bookmarkStart w:id="41" w:name="_Toc224031137"/>
      <w:r>
        <w:t>Wafer Fabrication (Foundr</w:t>
      </w:r>
      <w:r w:rsidR="005337DE">
        <w:t>y</w:t>
      </w:r>
      <w:r>
        <w:t>)</w:t>
      </w:r>
      <w:bookmarkEnd w:id="41"/>
    </w:p>
    <w:p w14:paraId="62E95575" w14:textId="4FA628FF" w:rsidR="00810A46" w:rsidRPr="00810A46" w:rsidRDefault="00810A46" w:rsidP="00810A46">
      <w:r>
        <w:t>This is where the physical chip is manufactured, and it is the layer most people think of when they hear "semiconductor supply chain."</w:t>
      </w:r>
    </w:p>
    <w:p w14:paraId="2C8063DD" w14:textId="3BF4F1D9" w:rsidR="00810A46" w:rsidRPr="00810A46" w:rsidRDefault="00810A46" w:rsidP="00810A46">
      <w:r>
        <w:rPr>
          <w:b/>
          <w:bCs/>
        </w:rPr>
        <w:t>TSMC (Taiwan Semiconductor Manufacturing Company)</w:t>
      </w:r>
      <w:r>
        <w:t xml:space="preserve"> is the most strategically important company in the world that most people have never heard of. It manufactures approximately </w:t>
      </w:r>
      <w:r>
        <w:rPr>
          <w:b/>
          <w:bCs/>
        </w:rPr>
        <w:t>90% of the world's leading-edge chips</w:t>
      </w:r>
      <w:r>
        <w:t xml:space="preserve"> (below 5nm) and produces chips for Apple, NVIDIA, AMD, Qualcomm, and essentially every fabless semiconductor company. TSMC's fabs are located predominantly in Taiwan. The geopolitical implications are almost too large to fully process. Every H100 and H200 GPU in every AI training cluster in the world was manufactured in Taiwan.</w:t>
      </w:r>
    </w:p>
    <w:p w14:paraId="5483E083" w14:textId="77777777" w:rsidR="00810A46" w:rsidRPr="00810A46" w:rsidRDefault="00810A46" w:rsidP="008C6E7C">
      <w:pPr>
        <w:pStyle w:val="ListParagraph"/>
        <w:numPr>
          <w:ilvl w:val="0"/>
          <w:numId w:val="12"/>
        </w:numPr>
      </w:pPr>
      <w:r>
        <w:rPr>
          <w:b/>
          <w:bCs/>
        </w:rPr>
        <w:t>Samsung</w:t>
      </w:r>
      <w:r>
        <w:t xml:space="preserve"> in South Korea is the only other company currently capable of manufacturing at leading-edge nodes, with meaningful capacity at 3nm and 4nm.</w:t>
      </w:r>
    </w:p>
    <w:p w14:paraId="6248E983" w14:textId="77777777" w:rsidR="00810A46" w:rsidRPr="00810A46" w:rsidRDefault="00810A46" w:rsidP="008C6E7C">
      <w:pPr>
        <w:pStyle w:val="ListParagraph"/>
        <w:numPr>
          <w:ilvl w:val="0"/>
          <w:numId w:val="12"/>
        </w:numPr>
      </w:pPr>
      <w:r>
        <w:rPr>
          <w:b/>
          <w:bCs/>
        </w:rPr>
        <w:t>Intel</w:t>
      </w:r>
      <w:r>
        <w:t xml:space="preserve"> is attempting to re-enter the leading-edge foundry business through its </w:t>
      </w:r>
      <w:r>
        <w:rPr>
          <w:b/>
          <w:bCs/>
        </w:rPr>
        <w:t>Intel Foundry Services (IFS)</w:t>
      </w:r>
      <w:r>
        <w:t xml:space="preserve"> initiative, with US government backing through the </w:t>
      </w:r>
      <w:r>
        <w:rPr>
          <w:b/>
          <w:bCs/>
        </w:rPr>
        <w:t>CHIPS Act</w:t>
      </w:r>
      <w:r>
        <w:t>. It is not yet competitive with TSMC at the leading edge but represents the West's primary bet on reducing TSMC dependency.</w:t>
      </w:r>
    </w:p>
    <w:p w14:paraId="22334452" w14:textId="1C9998DF" w:rsidR="00810A46" w:rsidRPr="00810A46" w:rsidRDefault="00810A46" w:rsidP="008C6E7C">
      <w:pPr>
        <w:pStyle w:val="ListParagraph"/>
        <w:numPr>
          <w:ilvl w:val="0"/>
          <w:numId w:val="12"/>
        </w:numPr>
      </w:pPr>
      <w:r>
        <w:rPr>
          <w:b/>
          <w:bCs/>
        </w:rPr>
        <w:t>Mature node fabrication</w:t>
      </w:r>
      <w:r>
        <w:t xml:space="preserve"> (28nm and above) is more geographically distributed. China has significant capacity here, as do TSMC, Samsung, GlobalFoundries (US/Singapore/Germany), and others. Many AI inference chips and supporting components use mature nodes, so this layer is less concentrated.</w:t>
      </w:r>
    </w:p>
    <w:p w14:paraId="1CBC5ADF" w14:textId="0F469E75" w:rsidR="00810A46" w:rsidRPr="00810A46" w:rsidRDefault="00810A46" w:rsidP="00150303">
      <w:pPr>
        <w:pStyle w:val="Heading2"/>
      </w:pPr>
      <w:bookmarkStart w:id="42" w:name="_Toc224031138"/>
      <w:r>
        <w:t>Advanced Packaging</w:t>
      </w:r>
      <w:bookmarkEnd w:id="42"/>
    </w:p>
    <w:p w14:paraId="00F6DEE1" w14:textId="4F08AAAE" w:rsidR="00810A46" w:rsidRPr="00810A46" w:rsidRDefault="00810A46" w:rsidP="00810A46">
      <w:r>
        <w:t xml:space="preserve">Once chips are fabricated, they must be packaged connecting multiple dies together and preparing them for integration into a system. This has become increasingly strategic as </w:t>
      </w:r>
      <w:r>
        <w:rPr>
          <w:b/>
          <w:bCs/>
        </w:rPr>
        <w:t>chiplet</w:t>
      </w:r>
      <w:r>
        <w:t xml:space="preserve"> architectures and 3D stacking have become central to AI chip performance.</w:t>
      </w:r>
    </w:p>
    <w:p w14:paraId="19D10441" w14:textId="77777777" w:rsidR="00810A46" w:rsidRPr="00810A46" w:rsidRDefault="00810A46" w:rsidP="008C6E7C">
      <w:pPr>
        <w:pStyle w:val="ListParagraph"/>
        <w:numPr>
          <w:ilvl w:val="0"/>
          <w:numId w:val="13"/>
        </w:numPr>
      </w:pPr>
      <w:r>
        <w:rPr>
          <w:b/>
          <w:bCs/>
        </w:rPr>
        <w:lastRenderedPageBreak/>
        <w:t>CoWoS (Chip on Wafer on Substrate)</w:t>
      </w:r>
      <w:r>
        <w:t xml:space="preserve"> packaging used in NVIDIA's H100/H200 is performed almost exclusively by TSMC. The packaging bottleneck has at times been more constraining than the chip fabrication itself.</w:t>
      </w:r>
    </w:p>
    <w:p w14:paraId="029CF308" w14:textId="711E6ADC" w:rsidR="00810A46" w:rsidRPr="00810A46" w:rsidRDefault="00810A46" w:rsidP="008C6E7C">
      <w:pPr>
        <w:pStyle w:val="ListParagraph"/>
        <w:numPr>
          <w:ilvl w:val="0"/>
          <w:numId w:val="13"/>
        </w:numPr>
      </w:pPr>
      <w:r>
        <w:rPr>
          <w:b/>
          <w:bCs/>
        </w:rPr>
        <w:t>Advanced Substrate manufacturing</w:t>
      </w:r>
      <w:r>
        <w:t xml:space="preserve">. The boards that chips are mounted on is dominated by companies in Taiwan, South Korea, and Japan, including </w:t>
      </w:r>
      <w:r>
        <w:rPr>
          <w:b/>
          <w:bCs/>
        </w:rPr>
        <w:t>Ibiden</w:t>
      </w:r>
      <w:r>
        <w:t xml:space="preserve"> and </w:t>
      </w:r>
      <w:r>
        <w:rPr>
          <w:b/>
          <w:bCs/>
        </w:rPr>
        <w:t>Shinko</w:t>
      </w:r>
      <w:r>
        <w:t xml:space="preserve"> in Japan and </w:t>
      </w:r>
      <w:r>
        <w:rPr>
          <w:b/>
          <w:bCs/>
        </w:rPr>
        <w:t>Unimicron</w:t>
      </w:r>
      <w:r>
        <w:t xml:space="preserve"> in Taiwan.</w:t>
      </w:r>
    </w:p>
    <w:p w14:paraId="5A242879" w14:textId="43CF3C7F" w:rsidR="00810A46" w:rsidRPr="00810A46" w:rsidRDefault="00810A46" w:rsidP="008C6E7C">
      <w:pPr>
        <w:pStyle w:val="ListParagraph"/>
        <w:numPr>
          <w:ilvl w:val="0"/>
          <w:numId w:val="13"/>
        </w:numPr>
      </w:pPr>
      <w:r>
        <w:rPr>
          <w:b/>
          <w:bCs/>
        </w:rPr>
        <w:t>HBM (High Bandwidth Memory)</w:t>
      </w:r>
      <w:r>
        <w:t xml:space="preserve">. The high-speed memory stacked alongside the GPU die in AI accelerators is manufactured by </w:t>
      </w:r>
      <w:r>
        <w:rPr>
          <w:b/>
          <w:bCs/>
        </w:rPr>
        <w:t>SK Hynix</w:t>
      </w:r>
      <w:r>
        <w:t xml:space="preserve"> (South Korea), </w:t>
      </w:r>
      <w:r>
        <w:rPr>
          <w:b/>
          <w:bCs/>
        </w:rPr>
        <w:t>Samsung</w:t>
      </w:r>
      <w:r>
        <w:t xml:space="preserve"> (South Korea), and </w:t>
      </w:r>
      <w:r>
        <w:rPr>
          <w:b/>
          <w:bCs/>
        </w:rPr>
        <w:t>Micron</w:t>
      </w:r>
      <w:r>
        <w:t xml:space="preserve"> (United States). SK Hynix currently leads in HBM3E supply for NVIDIA's latest accelerators.</w:t>
      </w:r>
    </w:p>
    <w:p w14:paraId="60D787F2" w14:textId="67A0D204" w:rsidR="00810A46" w:rsidRPr="00810A46" w:rsidRDefault="00810A46" w:rsidP="00150303">
      <w:pPr>
        <w:pStyle w:val="Heading2"/>
      </w:pPr>
      <w:bookmarkStart w:id="43" w:name="_Toc224031139"/>
      <w:r>
        <w:t>The AI Chip Itself</w:t>
      </w:r>
      <w:bookmarkEnd w:id="43"/>
    </w:p>
    <w:p w14:paraId="47873198" w14:textId="77777777" w:rsidR="00810A46" w:rsidRPr="00810A46" w:rsidRDefault="00810A46" w:rsidP="00810A46">
      <w:r>
        <w:t>Now we arrive at the finished AI accelerator, and here the concentration is also stark.</w:t>
      </w:r>
    </w:p>
    <w:p w14:paraId="28867687" w14:textId="77777777" w:rsidR="00810A46" w:rsidRPr="00810A46" w:rsidRDefault="00810A46" w:rsidP="008C6E7C">
      <w:pPr>
        <w:pStyle w:val="ListParagraph"/>
        <w:numPr>
          <w:ilvl w:val="0"/>
          <w:numId w:val="14"/>
        </w:numPr>
      </w:pPr>
      <w:r>
        <w:rPr>
          <w:b/>
          <w:bCs/>
        </w:rPr>
        <w:t>NVIDIA</w:t>
      </w:r>
      <w:r>
        <w:t xml:space="preserve"> dominates AI training with approximately 70-80% market share in data center GPUs. The H100, H200, and Blackwell (B100/B200) series are the primary compute substrate for frontier AI worldwide. NVIDIA is an American company. Its chips are designed in America, manufactured by TSMC in Taiwan, and subject to US export controls.</w:t>
      </w:r>
    </w:p>
    <w:p w14:paraId="497DD882" w14:textId="77777777" w:rsidR="00810A46" w:rsidRPr="00810A46" w:rsidRDefault="00810A46" w:rsidP="008C6E7C">
      <w:pPr>
        <w:pStyle w:val="ListParagraph"/>
        <w:numPr>
          <w:ilvl w:val="0"/>
          <w:numId w:val="14"/>
        </w:numPr>
      </w:pPr>
      <w:r>
        <w:rPr>
          <w:b/>
          <w:bCs/>
        </w:rPr>
        <w:t>AMD</w:t>
      </w:r>
      <w:r>
        <w:t xml:space="preserve"> offers competitive alternatives with its MI300 series, also manufactured by TSMC.</w:t>
      </w:r>
    </w:p>
    <w:p w14:paraId="7BE7C74B" w14:textId="77777777" w:rsidR="00810A46" w:rsidRPr="00810A46" w:rsidRDefault="00810A46" w:rsidP="008C6E7C">
      <w:pPr>
        <w:pStyle w:val="ListParagraph"/>
        <w:numPr>
          <w:ilvl w:val="0"/>
          <w:numId w:val="14"/>
        </w:numPr>
      </w:pPr>
      <w:r>
        <w:rPr>
          <w:b/>
          <w:bCs/>
        </w:rPr>
        <w:t>Google's TPUs</w:t>
      </w:r>
      <w:r>
        <w:t xml:space="preserve"> (Tensor Processing Units) are custom AI accelerators used internally by Google and offered through Google Cloud. They are not available for purchase and do not help with sovereignty goals.</w:t>
      </w:r>
    </w:p>
    <w:p w14:paraId="05D580CF" w14:textId="7805A720" w:rsidR="00810A46" w:rsidRPr="00810A46" w:rsidRDefault="00810A46" w:rsidP="008C6E7C">
      <w:pPr>
        <w:pStyle w:val="ListParagraph"/>
        <w:numPr>
          <w:ilvl w:val="0"/>
          <w:numId w:val="14"/>
        </w:numPr>
      </w:pPr>
      <w:r>
        <w:rPr>
          <w:b/>
          <w:bCs/>
        </w:rPr>
        <w:t>AWS Trainium and Inferentia</w:t>
      </w:r>
      <w:r>
        <w:t xml:space="preserve">, </w:t>
      </w:r>
      <w:r>
        <w:rPr>
          <w:b/>
          <w:bCs/>
        </w:rPr>
        <w:t>Microsoft's Maia</w:t>
      </w:r>
      <w:r>
        <w:t xml:space="preserve">, and </w:t>
      </w:r>
      <w:r>
        <w:rPr>
          <w:b/>
          <w:bCs/>
        </w:rPr>
        <w:t>Meta's MTIA</w:t>
      </w:r>
      <w:r>
        <w:t xml:space="preserve"> are hyperscaler custom silicon not available externally.</w:t>
      </w:r>
    </w:p>
    <w:p w14:paraId="6ABB42B7" w14:textId="6F4DA1C3" w:rsidR="00810A46" w:rsidRPr="00810A46" w:rsidRDefault="00810A46" w:rsidP="008C6E7C">
      <w:pPr>
        <w:pStyle w:val="ListParagraph"/>
        <w:numPr>
          <w:ilvl w:val="0"/>
          <w:numId w:val="14"/>
        </w:numPr>
      </w:pPr>
      <w:r>
        <w:rPr>
          <w:b/>
          <w:bCs/>
        </w:rPr>
        <w:t>Emerging domestic alternatives</w:t>
      </w:r>
      <w:r>
        <w:t xml:space="preserve"> exist in some countries. China has </w:t>
      </w:r>
      <w:r>
        <w:rPr>
          <w:b/>
          <w:bCs/>
        </w:rPr>
        <w:t>Huawei Ascend</w:t>
      </w:r>
      <w:r>
        <w:t xml:space="preserve">, </w:t>
      </w:r>
      <w:r>
        <w:rPr>
          <w:b/>
          <w:bCs/>
        </w:rPr>
        <w:t>Biren</w:t>
      </w:r>
      <w:r>
        <w:t xml:space="preserve">, and </w:t>
      </w:r>
      <w:r>
        <w:rPr>
          <w:b/>
          <w:bCs/>
        </w:rPr>
        <w:t>Cambricon</w:t>
      </w:r>
      <w:r>
        <w:t>; the EU has nascent efforts; but none match NVIDIA's performance, software ecosystem, or production scale at this time.</w:t>
      </w:r>
    </w:p>
    <w:p w14:paraId="3E9A330E" w14:textId="5F53D936" w:rsidR="00810A46" w:rsidRPr="00810A46" w:rsidRDefault="00810A46" w:rsidP="00463FDB">
      <w:pPr>
        <w:pStyle w:val="Heading2"/>
      </w:pPr>
      <w:bookmarkStart w:id="44" w:name="_Toc224031140"/>
      <w:r>
        <w:t>Systems Integration and Servers</w:t>
      </w:r>
      <w:bookmarkEnd w:id="44"/>
    </w:p>
    <w:p w14:paraId="3CA57A26" w14:textId="77777777" w:rsidR="00810A46" w:rsidRPr="00810A46" w:rsidRDefault="00810A46" w:rsidP="00810A46">
      <w:r>
        <w:t>AI chips must be integrated into servers, networking, and full rack systems.</w:t>
      </w:r>
    </w:p>
    <w:p w14:paraId="334BEA62" w14:textId="07E8A63C" w:rsidR="00810A46" w:rsidRPr="00810A46" w:rsidRDefault="00810A46" w:rsidP="008C6E7C">
      <w:pPr>
        <w:pStyle w:val="ListParagraph"/>
        <w:numPr>
          <w:ilvl w:val="0"/>
          <w:numId w:val="15"/>
        </w:numPr>
      </w:pPr>
      <w:r>
        <w:rPr>
          <w:b/>
          <w:bCs/>
        </w:rPr>
        <w:t>Server ODMs</w:t>
      </w:r>
      <w:r>
        <w:t xml:space="preserve"> (Original Design Manufacturers). </w:t>
      </w:r>
      <w:r>
        <w:rPr>
          <w:b/>
          <w:bCs/>
        </w:rPr>
        <w:t>Quanta</w:t>
      </w:r>
      <w:r>
        <w:t xml:space="preserve">, </w:t>
      </w:r>
      <w:r>
        <w:rPr>
          <w:b/>
          <w:bCs/>
        </w:rPr>
        <w:t>Wistron</w:t>
      </w:r>
      <w:r>
        <w:t xml:space="preserve">, </w:t>
      </w:r>
      <w:r>
        <w:rPr>
          <w:b/>
          <w:bCs/>
        </w:rPr>
        <w:t>Foxconn</w:t>
      </w:r>
      <w:r>
        <w:t xml:space="preserve">, and </w:t>
      </w:r>
      <w:r>
        <w:rPr>
          <w:b/>
          <w:bCs/>
        </w:rPr>
        <w:t>Compal</w:t>
      </w:r>
      <w:r>
        <w:t xml:space="preserve"> are predominantly Taiwanese, with manufacturing in Taiwan and China. </w:t>
      </w:r>
      <w:r>
        <w:rPr>
          <w:b/>
          <w:bCs/>
        </w:rPr>
        <w:t>Supermicro</w:t>
      </w:r>
      <w:r>
        <w:t xml:space="preserve"> is American-headquartered but manufactures heavily in Asia.</w:t>
      </w:r>
    </w:p>
    <w:p w14:paraId="026B7EA2" w14:textId="574B24C9" w:rsidR="00810A46" w:rsidRPr="00810A46" w:rsidRDefault="00810A46" w:rsidP="008C6E7C">
      <w:pPr>
        <w:pStyle w:val="ListParagraph"/>
        <w:numPr>
          <w:ilvl w:val="0"/>
          <w:numId w:val="15"/>
        </w:numPr>
      </w:pPr>
      <w:r>
        <w:rPr>
          <w:b/>
          <w:bCs/>
        </w:rPr>
        <w:t>NVIDIA DGX and HGX systems</w:t>
      </w:r>
      <w:r>
        <w:t>. The standard building blocks of AI clusters are assembled in these supply chains.</w:t>
      </w:r>
    </w:p>
    <w:p w14:paraId="70E5B5D6" w14:textId="77777777" w:rsidR="00810A46" w:rsidRPr="00810A46" w:rsidRDefault="00810A46" w:rsidP="008C6E7C">
      <w:pPr>
        <w:pStyle w:val="ListParagraph"/>
        <w:numPr>
          <w:ilvl w:val="0"/>
          <w:numId w:val="15"/>
        </w:numPr>
      </w:pPr>
      <w:r>
        <w:rPr>
          <w:b/>
          <w:bCs/>
        </w:rPr>
        <w:t>Networking</w:t>
      </w:r>
      <w:r>
        <w:t xml:space="preserve"> for AI clusters is dominated by </w:t>
      </w:r>
      <w:r>
        <w:rPr>
          <w:b/>
          <w:bCs/>
        </w:rPr>
        <w:t>NVIDIA InfiniBand</w:t>
      </w:r>
      <w:r>
        <w:t xml:space="preserve"> (from the Mellanox acquisition) and increasingly </w:t>
      </w:r>
      <w:r>
        <w:rPr>
          <w:b/>
          <w:bCs/>
        </w:rPr>
        <w:t>NVIDIA Spectrum Ethernet</w:t>
      </w:r>
      <w:r>
        <w:t>. High-speed networking is essential for distributed AI training and represents another dependency.</w:t>
      </w:r>
    </w:p>
    <w:p w14:paraId="377DBA4C" w14:textId="77777777" w:rsidR="00810A46" w:rsidRPr="00810A46" w:rsidRDefault="00810A46" w:rsidP="008C6E7C">
      <w:pPr>
        <w:pStyle w:val="ListParagraph"/>
        <w:numPr>
          <w:ilvl w:val="0"/>
          <w:numId w:val="15"/>
        </w:numPr>
      </w:pPr>
      <w:r>
        <w:rPr>
          <w:b/>
          <w:bCs/>
        </w:rPr>
        <w:t>Power and Cooling infrastructure</w:t>
      </w:r>
      <w:r>
        <w:t xml:space="preserve"> has its own supply chain, with significant manufacturing in China and Taiwan for components like power distribution units, liquid cooling systems, and precision air handling.</w:t>
      </w:r>
    </w:p>
    <w:p w14:paraId="33E11906" w14:textId="6ED3DE99" w:rsidR="00810A46" w:rsidRPr="00810A46" w:rsidRDefault="00810A46" w:rsidP="00463FDB">
      <w:pPr>
        <w:pStyle w:val="Heading2"/>
      </w:pPr>
      <w:bookmarkStart w:id="45" w:name="_Toc224031141"/>
      <w:r>
        <w:lastRenderedPageBreak/>
        <w:t>Software and Firmware</w:t>
      </w:r>
      <w:bookmarkEnd w:id="45"/>
    </w:p>
    <w:p w14:paraId="5D89BDF0" w14:textId="77777777" w:rsidR="00810A46" w:rsidRPr="00810A46" w:rsidRDefault="00810A46" w:rsidP="00810A46">
      <w:r>
        <w:t>Even if you control all the hardware, the software stack introduces additional dependencies.</w:t>
      </w:r>
    </w:p>
    <w:p w14:paraId="08489A53" w14:textId="292E18E3" w:rsidR="00810A46" w:rsidRPr="00810A46" w:rsidRDefault="00810A46" w:rsidP="008C6E7C">
      <w:pPr>
        <w:pStyle w:val="ListParagraph"/>
        <w:numPr>
          <w:ilvl w:val="0"/>
          <w:numId w:val="16"/>
        </w:numPr>
      </w:pPr>
      <w:r>
        <w:rPr>
          <w:b/>
          <w:bCs/>
        </w:rPr>
        <w:t>CUDA</w:t>
      </w:r>
      <w:r>
        <w:t>. NVIDIA's parallel computing platform is the dominant programming model for AI. The entire AI software ecosystem (PyTorch, TensorFlow, JAX) and virtually every framework is optimized for CUDA. This creates a software-level lock-in that mirrors and reinforces the hardware dependency.</w:t>
      </w:r>
    </w:p>
    <w:p w14:paraId="64551879" w14:textId="77777777" w:rsidR="00810A46" w:rsidRPr="00810A46" w:rsidRDefault="00810A46" w:rsidP="008C6E7C">
      <w:pPr>
        <w:pStyle w:val="ListParagraph"/>
        <w:numPr>
          <w:ilvl w:val="0"/>
          <w:numId w:val="16"/>
        </w:numPr>
      </w:pPr>
      <w:r>
        <w:rPr>
          <w:b/>
          <w:bCs/>
        </w:rPr>
        <w:t>Firmware and BMC (Baseboard Management Controllers)</w:t>
      </w:r>
      <w:r>
        <w:t xml:space="preserve"> embedded in servers introduce supply chain trust concerns that are genuinely difficult to audit.</w:t>
      </w:r>
    </w:p>
    <w:p w14:paraId="1FD19C67" w14:textId="76C5931F" w:rsidR="000E0E0F" w:rsidRPr="000E0E0F" w:rsidRDefault="00810A46" w:rsidP="000E0E0F">
      <w:pPr>
        <w:pStyle w:val="ListParagraph"/>
        <w:numPr>
          <w:ilvl w:val="0"/>
          <w:numId w:val="16"/>
        </w:numPr>
      </w:pPr>
      <w:r>
        <w:rPr>
          <w:b/>
          <w:bCs/>
        </w:rPr>
        <w:t>BIOS and low-level firmware</w:t>
      </w:r>
      <w:r>
        <w:t xml:space="preserve"> from companies like </w:t>
      </w:r>
      <w:r>
        <w:rPr>
          <w:b/>
          <w:bCs/>
        </w:rPr>
        <w:t>AMI</w:t>
      </w:r>
      <w:r>
        <w:t xml:space="preserve"> and </w:t>
      </w:r>
      <w:r>
        <w:rPr>
          <w:b/>
          <w:bCs/>
        </w:rPr>
        <w:t>Phoenix Technologies</w:t>
      </w:r>
      <w:r>
        <w:t xml:space="preserve"> add additional layers that require chain-of-custody verification in high-security sovereign deployments.</w:t>
      </w:r>
    </w:p>
    <w:p w14:paraId="57B06560" w14:textId="1D95BFA2" w:rsidR="000E0E0F" w:rsidRPr="000E0E0F" w:rsidRDefault="00AB2B69" w:rsidP="00BA286F">
      <w:pPr>
        <w:pStyle w:val="Heading2"/>
      </w:pPr>
      <w:bookmarkStart w:id="46" w:name="_Toc224031142"/>
      <w:r>
        <w:t>Hardware Supply Chain Summary</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9"/>
        <w:gridCol w:w="2898"/>
        <w:gridCol w:w="1668"/>
        <w:gridCol w:w="2453"/>
      </w:tblGrid>
      <w:tr w:rsidR="00AB2B69" w14:paraId="42AF4FBB" w14:textId="77777777" w:rsidTr="001975E0">
        <w:tc>
          <w:tcPr>
            <w:tcW w:w="233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6A586320" w14:textId="77777777" w:rsidR="00AB2B69" w:rsidRDefault="00AB2B69" w:rsidP="00B45EFC">
            <w:r>
              <w:rPr>
                <w:b/>
                <w:bCs/>
                <w:color w:val="FFFFFF"/>
                <w:sz w:val="20"/>
                <w:szCs w:val="20"/>
              </w:rPr>
              <w:t>Layer</w:t>
            </w:r>
          </w:p>
        </w:tc>
        <w:tc>
          <w:tcPr>
            <w:tcW w:w="2898"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5BDFA77A" w14:textId="77777777" w:rsidR="00AB2B69" w:rsidRDefault="00AB2B69" w:rsidP="00B45EFC">
            <w:r>
              <w:rPr>
                <w:b/>
                <w:bCs/>
                <w:color w:val="FFFFFF"/>
                <w:sz w:val="20"/>
                <w:szCs w:val="20"/>
              </w:rPr>
              <w:t>Key Dependency</w:t>
            </w:r>
          </w:p>
        </w:tc>
        <w:tc>
          <w:tcPr>
            <w:tcW w:w="0" w:type="auto"/>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2E28DFE5" w14:textId="77777777" w:rsidR="00AB2B69" w:rsidRDefault="00AB2B69" w:rsidP="00B45EFC">
            <w:r>
              <w:rPr>
                <w:b/>
                <w:bCs/>
                <w:color w:val="FFFFFF"/>
                <w:sz w:val="20"/>
                <w:szCs w:val="20"/>
              </w:rPr>
              <w:t>Controllable?</w:t>
            </w:r>
          </w:p>
        </w:tc>
        <w:tc>
          <w:tcPr>
            <w:tcW w:w="0" w:type="auto"/>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71220F3B" w14:textId="77777777" w:rsidR="00AB2B69" w:rsidRDefault="00AB2B69" w:rsidP="00B45EFC">
            <w:r>
              <w:rPr>
                <w:b/>
                <w:bCs/>
                <w:color w:val="FFFFFF"/>
                <w:sz w:val="20"/>
                <w:szCs w:val="20"/>
              </w:rPr>
              <w:t>Risk Level</w:t>
            </w:r>
          </w:p>
        </w:tc>
      </w:tr>
      <w:tr w:rsidR="00AB2B69" w14:paraId="34085EEA"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A92982B" w14:textId="77777777" w:rsidR="00AB2B69" w:rsidRDefault="00AB2B69" w:rsidP="00B45EFC">
            <w:r>
              <w:rPr>
                <w:color w:val="333333"/>
                <w:sz w:val="20"/>
                <w:szCs w:val="20"/>
              </w:rPr>
              <w:t>Raw Minerals</w:t>
            </w:r>
          </w:p>
        </w:tc>
        <w:tc>
          <w:tcPr>
            <w:tcW w:w="2898"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4E47E4A" w14:textId="77777777" w:rsidR="00AB2B69" w:rsidRDefault="00AB2B69" w:rsidP="00B45EFC">
            <w:r>
              <w:rPr>
                <w:color w:val="333333"/>
                <w:sz w:val="20"/>
                <w:szCs w:val="20"/>
              </w:rPr>
              <w:t>China dominates rare earths, gallium, germanium</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CCDC077" w14:textId="77777777" w:rsidR="00AB2B69" w:rsidRDefault="00AB2B69" w:rsidP="00B45EFC">
            <w:r>
              <w:rPr>
                <w:color w:val="333333"/>
                <w:sz w:val="20"/>
                <w:szCs w:val="20"/>
              </w:rPr>
              <w:t>No</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C5D5811" w14:textId="77777777" w:rsidR="00AB2B69" w:rsidRDefault="00AB2B69" w:rsidP="00B45EFC">
            <w:r>
              <w:rPr>
                <w:color w:val="333333"/>
                <w:sz w:val="20"/>
                <w:szCs w:val="20"/>
              </w:rPr>
              <w:t>Accept as documented risk</w:t>
            </w:r>
          </w:p>
        </w:tc>
      </w:tr>
      <w:tr w:rsidR="00AB2B69" w14:paraId="7DA91195"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02E0F93" w14:textId="77777777" w:rsidR="00AB2B69" w:rsidRDefault="00AB2B69" w:rsidP="00B45EFC">
            <w:r>
              <w:rPr>
                <w:color w:val="333333"/>
                <w:sz w:val="20"/>
                <w:szCs w:val="20"/>
              </w:rPr>
              <w:t>EDA Tools</w:t>
            </w:r>
          </w:p>
        </w:tc>
        <w:tc>
          <w:tcPr>
            <w:tcW w:w="2898"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21848B4" w14:textId="77777777" w:rsidR="00AB2B69" w:rsidRDefault="00AB2B69" w:rsidP="00B45EFC">
            <w:r>
              <w:rPr>
                <w:color w:val="333333"/>
                <w:sz w:val="20"/>
                <w:szCs w:val="20"/>
              </w:rPr>
              <w:t>Synopsys, Cadence, Mentor (all US)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8A9F41D" w14:textId="77777777" w:rsidR="00AB2B69" w:rsidRDefault="00AB2B69" w:rsidP="00B45EFC">
            <w:r>
              <w:rPr>
                <w:color w:val="333333"/>
                <w:sz w:val="20"/>
                <w:szCs w:val="20"/>
              </w:rPr>
              <w:t>No (export-controlled)</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B06C464" w14:textId="77777777" w:rsidR="00AB2B69" w:rsidRDefault="00AB2B69" w:rsidP="00B45EFC">
            <w:r>
              <w:rPr>
                <w:color w:val="333333"/>
                <w:sz w:val="20"/>
                <w:szCs w:val="20"/>
              </w:rPr>
              <w:t>Accept; monitor export controls</w:t>
            </w:r>
          </w:p>
        </w:tc>
      </w:tr>
      <w:tr w:rsidR="00AB2B69" w14:paraId="3AA5D17E"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A1478A3" w14:textId="77777777" w:rsidR="00AB2B69" w:rsidRDefault="00AB2B69" w:rsidP="00B45EFC">
            <w:r>
              <w:rPr>
                <w:color w:val="333333"/>
                <w:sz w:val="20"/>
                <w:szCs w:val="20"/>
              </w:rPr>
              <w:t>Fabrication Equipment</w:t>
            </w:r>
          </w:p>
        </w:tc>
        <w:tc>
          <w:tcPr>
            <w:tcW w:w="2898"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E64FAA0" w14:textId="77777777" w:rsidR="00AB2B69" w:rsidRDefault="00AB2B69" w:rsidP="00B45EFC">
            <w:r>
              <w:rPr>
                <w:color w:val="333333"/>
                <w:sz w:val="20"/>
                <w:szCs w:val="20"/>
              </w:rPr>
              <w:t>ASML (Netherlands) for EUV; US firms for etch/deposition</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2EFBE2A" w14:textId="77777777" w:rsidR="00AB2B69" w:rsidRDefault="00AB2B69" w:rsidP="00B45EFC">
            <w:r>
              <w:rPr>
                <w:color w:val="333333"/>
                <w:sz w:val="20"/>
                <w:szCs w:val="20"/>
              </w:rPr>
              <w:t>No</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25F3CA2" w14:textId="77777777" w:rsidR="00AB2B69" w:rsidRDefault="00AB2B69" w:rsidP="00B45EFC">
            <w:r>
              <w:rPr>
                <w:color w:val="333333"/>
                <w:sz w:val="20"/>
                <w:szCs w:val="20"/>
              </w:rPr>
              <w:t>Accept; single point of failure</w:t>
            </w:r>
          </w:p>
        </w:tc>
      </w:tr>
      <w:tr w:rsidR="00AB2B69" w14:paraId="2B1731D5"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662A2EC" w14:textId="77777777" w:rsidR="00AB2B69" w:rsidRDefault="00AB2B69" w:rsidP="00B45EFC">
            <w:r>
              <w:rPr>
                <w:color w:val="333333"/>
                <w:sz w:val="20"/>
                <w:szCs w:val="20"/>
              </w:rPr>
              <w:t>Wafer Fabrication</w:t>
            </w:r>
          </w:p>
        </w:tc>
        <w:tc>
          <w:tcPr>
            <w:tcW w:w="2898"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110EA8A" w14:textId="77777777" w:rsidR="00AB2B69" w:rsidRDefault="00AB2B69" w:rsidP="00B45EFC">
            <w:r>
              <w:rPr>
                <w:color w:val="333333"/>
                <w:sz w:val="20"/>
                <w:szCs w:val="20"/>
              </w:rPr>
              <w:t>TSMC ~90% of leading-edge; Taiwan geopolitical risk</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1026974" w14:textId="77777777" w:rsidR="00AB2B69" w:rsidRDefault="00AB2B69" w:rsidP="00B45EFC">
            <w:r>
              <w:rPr>
                <w:color w:val="333333"/>
                <w:sz w:val="20"/>
                <w:szCs w:val="20"/>
              </w:rPr>
              <w:t>No near-term</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4945F41" w14:textId="77777777" w:rsidR="00AB2B69" w:rsidRDefault="00AB2B69" w:rsidP="00B45EFC">
            <w:r>
              <w:rPr>
                <w:color w:val="333333"/>
                <w:sz w:val="20"/>
                <w:szCs w:val="20"/>
              </w:rPr>
              <w:t>Highest strategic risk</w:t>
            </w:r>
          </w:p>
        </w:tc>
      </w:tr>
      <w:tr w:rsidR="00AB2B69" w14:paraId="64A62D47"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3DF7D77" w14:textId="77777777" w:rsidR="00AB2B69" w:rsidRDefault="00AB2B69" w:rsidP="00B45EFC">
            <w:r>
              <w:rPr>
                <w:color w:val="333333"/>
                <w:sz w:val="20"/>
                <w:szCs w:val="20"/>
              </w:rPr>
              <w:t>Advanced Packaging</w:t>
            </w:r>
          </w:p>
        </w:tc>
        <w:tc>
          <w:tcPr>
            <w:tcW w:w="2898"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FDD03D7" w14:textId="77777777" w:rsidR="00AB2B69" w:rsidRDefault="00AB2B69" w:rsidP="00B45EFC">
            <w:r>
              <w:rPr>
                <w:color w:val="333333"/>
                <w:sz w:val="20"/>
                <w:szCs w:val="20"/>
              </w:rPr>
              <w:t>TSMC CoWoS; SK Hynix for HBM</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CE91F20" w14:textId="77777777" w:rsidR="00AB2B69" w:rsidRDefault="00AB2B69" w:rsidP="00B45EFC">
            <w:r>
              <w:rPr>
                <w:color w:val="333333"/>
                <w:sz w:val="20"/>
                <w:szCs w:val="20"/>
              </w:rPr>
              <w:t>No</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65C0E88" w14:textId="77777777" w:rsidR="00AB2B69" w:rsidRDefault="00AB2B69" w:rsidP="00B45EFC">
            <w:r>
              <w:rPr>
                <w:color w:val="333333"/>
                <w:sz w:val="20"/>
                <w:szCs w:val="20"/>
              </w:rPr>
              <w:t>Accept; monitor diversification</w:t>
            </w:r>
          </w:p>
        </w:tc>
      </w:tr>
      <w:tr w:rsidR="00AB2B69" w14:paraId="2713FD50"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623EDA2" w14:textId="77777777" w:rsidR="00AB2B69" w:rsidRDefault="00AB2B69" w:rsidP="00B45EFC">
            <w:r>
              <w:rPr>
                <w:color w:val="333333"/>
                <w:sz w:val="20"/>
                <w:szCs w:val="20"/>
              </w:rPr>
              <w:t>AI Chips</w:t>
            </w:r>
          </w:p>
        </w:tc>
        <w:tc>
          <w:tcPr>
            <w:tcW w:w="2898"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B604ED2" w14:textId="77777777" w:rsidR="00AB2B69" w:rsidRDefault="00AB2B69" w:rsidP="00B45EFC">
            <w:r>
              <w:rPr>
                <w:color w:val="333333"/>
                <w:sz w:val="20"/>
                <w:szCs w:val="20"/>
              </w:rPr>
              <w:t>NVIDIA 70-80% market share; US-designed; US export-controlled</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8BCA880" w14:textId="77777777" w:rsidR="00AB2B69" w:rsidRDefault="00AB2B69" w:rsidP="00B45EFC">
            <w:r>
              <w:rPr>
                <w:color w:val="333333"/>
                <w:sz w:val="20"/>
                <w:szCs w:val="20"/>
              </w:rPr>
              <w:t>No</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8992B03" w14:textId="77777777" w:rsidR="00AB2B69" w:rsidRDefault="00AB2B69" w:rsidP="00B45EFC">
            <w:r>
              <w:rPr>
                <w:color w:val="333333"/>
                <w:sz w:val="20"/>
                <w:szCs w:val="20"/>
              </w:rPr>
              <w:t>Accept; watch AMD/domestic alternatives</w:t>
            </w:r>
          </w:p>
        </w:tc>
      </w:tr>
      <w:tr w:rsidR="00AB2B69" w14:paraId="1921A202"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4E9BD34" w14:textId="77777777" w:rsidR="00AB2B69" w:rsidRDefault="00AB2B69" w:rsidP="00B45EFC">
            <w:r>
              <w:rPr>
                <w:color w:val="333333"/>
                <w:sz w:val="20"/>
                <w:szCs w:val="20"/>
              </w:rPr>
              <w:t>Server Assembly</w:t>
            </w:r>
          </w:p>
        </w:tc>
        <w:tc>
          <w:tcPr>
            <w:tcW w:w="2898"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60C573F" w14:textId="77777777" w:rsidR="00AB2B69" w:rsidRDefault="00AB2B69" w:rsidP="00B45EFC">
            <w:r>
              <w:rPr>
                <w:color w:val="333333"/>
                <w:sz w:val="20"/>
                <w:szCs w:val="20"/>
              </w:rPr>
              <w:t>Taiwanese ODMs; Chinese manufacturing</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27BE02F" w14:textId="77777777" w:rsidR="00AB2B69" w:rsidRDefault="00AB2B69" w:rsidP="00B45EFC">
            <w:r>
              <w:rPr>
                <w:color w:val="333333"/>
                <w:sz w:val="20"/>
                <w:szCs w:val="20"/>
              </w:rPr>
              <w:t>Partially</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5542BD0" w14:textId="77777777" w:rsidR="00AB2B69" w:rsidRDefault="00AB2B69" w:rsidP="00B45EFC">
            <w:r>
              <w:rPr>
                <w:color w:val="333333"/>
                <w:sz w:val="20"/>
                <w:szCs w:val="20"/>
              </w:rPr>
              <w:t>Mitigate through vendor qualification</w:t>
            </w:r>
          </w:p>
        </w:tc>
      </w:tr>
      <w:tr w:rsidR="00AB2B69" w14:paraId="2E766F5B" w14:textId="77777777" w:rsidTr="001975E0">
        <w:tc>
          <w:tcPr>
            <w:tcW w:w="233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A50D93B" w14:textId="77777777" w:rsidR="00AB2B69" w:rsidRDefault="00AB2B69" w:rsidP="00B45EFC">
            <w:r>
              <w:rPr>
                <w:color w:val="333333"/>
                <w:sz w:val="20"/>
                <w:szCs w:val="20"/>
              </w:rPr>
              <w:t>Software/Firmware</w:t>
            </w:r>
          </w:p>
        </w:tc>
        <w:tc>
          <w:tcPr>
            <w:tcW w:w="2898"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AAA703E" w14:textId="77777777" w:rsidR="00AB2B69" w:rsidRDefault="00AB2B69" w:rsidP="00B45EFC">
            <w:r>
              <w:rPr>
                <w:color w:val="333333"/>
                <w:sz w:val="20"/>
                <w:szCs w:val="20"/>
              </w:rPr>
              <w:t>CUDA; BMC/BIOS vendors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7A0E321" w14:textId="77777777" w:rsidR="00AB2B69" w:rsidRDefault="00AB2B69" w:rsidP="00B45EFC">
            <w:r>
              <w:rPr>
                <w:color w:val="333333"/>
                <w:sz w:val="20"/>
                <w:szCs w:val="20"/>
              </w:rPr>
              <w:t>Yes (with discipline)</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2360BFB" w14:textId="77777777" w:rsidR="00AB2B69" w:rsidRDefault="00AB2B69" w:rsidP="00B45EFC">
            <w:r>
              <w:rPr>
                <w:color w:val="333333"/>
                <w:sz w:val="20"/>
                <w:szCs w:val="20"/>
              </w:rPr>
              <w:t>Primary mitigation opportunity</w:t>
            </w:r>
          </w:p>
        </w:tc>
      </w:tr>
    </w:tbl>
    <w:p w14:paraId="2C744692" w14:textId="77777777" w:rsidR="00AB2B69" w:rsidRDefault="00AB2B69" w:rsidP="00810A46"/>
    <w:p w14:paraId="7CB8E4E6" w14:textId="77777777" w:rsidR="000E0E0F" w:rsidRPr="00810A46" w:rsidRDefault="000E0E0F" w:rsidP="000E0E0F">
      <w:pPr>
        <w:pStyle w:val="ListParagraph"/>
        <w:numPr>
          <w:ilvl w:val="0"/>
          <w:numId w:val="17"/>
        </w:numPr>
      </w:pPr>
      <w:r>
        <w:rPr>
          <w:b/>
          <w:bCs/>
        </w:rPr>
        <w:lastRenderedPageBreak/>
        <w:t>You cannot achieve full semiconductor supply chain sovereignty today.</w:t>
      </w:r>
      <w:r>
        <w:t xml:space="preserve"> No nation outside the US, Taiwan, South Korea, Japan, and the Netherlands can credibly claim full control over this supply chain. Even the United States cannot. It depends on TSMC for leading-edge fabrication and Japanese companies for critical materials and chemicals.</w:t>
      </w:r>
    </w:p>
    <w:p w14:paraId="5C323594" w14:textId="77777777" w:rsidR="000E0E0F" w:rsidRPr="00810A46" w:rsidRDefault="000E0E0F" w:rsidP="000E0E0F">
      <w:pPr>
        <w:pStyle w:val="ListParagraph"/>
        <w:numPr>
          <w:ilvl w:val="0"/>
          <w:numId w:val="17"/>
        </w:numPr>
      </w:pPr>
      <w:r>
        <w:rPr>
          <w:b/>
          <w:bCs/>
        </w:rPr>
        <w:t>Chokepoints you must document and accept as risk</w:t>
      </w:r>
      <w:r>
        <w:t xml:space="preserve"> include TSMC fabrication of your AI chips, ASML lithography in your chip's manufacturing history, US EDA tools in the design of those chips, and NVIDIA's US-controlled architecture and CUDA software stack.</w:t>
      </w:r>
    </w:p>
    <w:p w14:paraId="0D3E4982" w14:textId="77777777" w:rsidR="000E0E0F" w:rsidRPr="00810A46" w:rsidRDefault="000E0E0F" w:rsidP="000E0E0F">
      <w:pPr>
        <w:pStyle w:val="ListParagraph"/>
        <w:numPr>
          <w:ilvl w:val="0"/>
          <w:numId w:val="17"/>
        </w:numPr>
      </w:pPr>
      <w:r>
        <w:rPr>
          <w:b/>
          <w:bCs/>
        </w:rPr>
        <w:t>What you can control</w:t>
      </w:r>
      <w:r>
        <w:t xml:space="preserve"> is where your chips go after they arrive which includes the data center design, physical security, network architecture, encryption key management, operational access controls, and the software stack running above the hardware layer. This is where meaningful sovereignty decisions can be made.</w:t>
      </w:r>
    </w:p>
    <w:p w14:paraId="2996B26E" w14:textId="77777777" w:rsidR="000E0E0F" w:rsidRPr="00810A46" w:rsidRDefault="000E0E0F" w:rsidP="000E0E0F">
      <w:pPr>
        <w:pStyle w:val="ListParagraph"/>
        <w:numPr>
          <w:ilvl w:val="0"/>
          <w:numId w:val="17"/>
        </w:numPr>
      </w:pPr>
      <w:r>
        <w:rPr>
          <w:b/>
          <w:bCs/>
        </w:rPr>
        <w:t>Export control risk</w:t>
      </w:r>
      <w:r>
        <w:t xml:space="preserve"> is real and must be part of your planning. The US Bureau of Industry and Security (BIS) has already imposed restrictions on exporting advanced AI chips to certain countries and has introduced compute thresholds above which export licenses are required. Any sovereign AI build must assess its exposure to US export control law and plan for the possibility that future restrictions could affect hardware procurement or upgrades.</w:t>
      </w:r>
    </w:p>
    <w:p w14:paraId="1547F444" w14:textId="77777777" w:rsidR="000E0E0F" w:rsidRPr="00810A46" w:rsidRDefault="000E0E0F" w:rsidP="000E0E0F">
      <w:pPr>
        <w:pStyle w:val="ListParagraph"/>
        <w:numPr>
          <w:ilvl w:val="0"/>
          <w:numId w:val="17"/>
        </w:numPr>
      </w:pPr>
      <w:r>
        <w:rPr>
          <w:b/>
          <w:bCs/>
        </w:rPr>
        <w:t>The CHIPS Act and allied reshoring efforts</w:t>
      </w:r>
      <w:r>
        <w:t xml:space="preserve"> are the long-term answer. The US, EU, Japan, South Korea, and India are all investing heavily in domestic fabrication capacity. TSMC is building fabs in Arizona, Intel is expanding in Ohio and Germany, Samsung in Texas. But leading-edge domestic production at scale is a decade-long project, not a near-term solution.</w:t>
      </w:r>
    </w:p>
    <w:p w14:paraId="04728111" w14:textId="77777777" w:rsidR="000E0E0F" w:rsidRDefault="000E0E0F" w:rsidP="000E0E0F">
      <w:r>
        <w:t xml:space="preserve">The bottom line for your sovereign AI planning is this: </w:t>
      </w:r>
      <w:r>
        <w:rPr>
          <w:b/>
          <w:bCs/>
        </w:rPr>
        <w:t>you are building on a foundation that is inherently globalized and concentrated in allied but foreign jurisdictions.</w:t>
      </w:r>
      <w:r>
        <w:t xml:space="preserve"> True supply chain sovereignty at the semiconductor layer is a 10–20-year infrastructure project. In the near term, sovereignty efforts should focus on the layers you can control while maintaining clear-eyed awareness of where hardware dependencies lie — across data, operations, access, legal jurisdiction, and software — and the geopolitical relationships they implicate.</w:t>
      </w:r>
    </w:p>
    <w:p w14:paraId="4E0AB220" w14:textId="154E1936" w:rsidR="00835D2F" w:rsidRDefault="001737AD" w:rsidP="00463FDB">
      <w:pPr>
        <w:pStyle w:val="Heading1"/>
      </w:pPr>
      <w:bookmarkStart w:id="47" w:name="_Toc224031143"/>
      <w:r>
        <w:t>Systems</w:t>
      </w:r>
      <w:r w:rsidR="002A1C1E">
        <w:t>: Where Sovereignty becomes Operational</w:t>
      </w:r>
      <w:bookmarkEnd w:id="47"/>
    </w:p>
    <w:p w14:paraId="689D9970" w14:textId="20A209EF" w:rsidR="00810A46" w:rsidRPr="00810A46" w:rsidRDefault="009A6A99" w:rsidP="00810A46">
      <w:r>
        <w:t xml:space="preserve">As mentioned in the introduction to the previous section </w:t>
      </w:r>
      <w:r>
        <w:rPr>
          <w:b/>
          <w:bCs/>
        </w:rPr>
        <w:t xml:space="preserve">hardware level full sovereignty is currently impossible. </w:t>
      </w:r>
      <w:r>
        <w:t xml:space="preserve">and where your </w:t>
      </w:r>
      <w:r>
        <w:rPr>
          <w:b/>
          <w:bCs/>
        </w:rPr>
        <w:t>root of trust</w:t>
      </w:r>
      <w:r>
        <w:t xml:space="preserve"> begins. Systems are where sovereign AI planning begins moving from geopolitical theory into </w:t>
      </w:r>
      <w:r>
        <w:rPr>
          <w:b/>
          <w:bCs/>
        </w:rPr>
        <w:t>operational engineering and governance practice</w:t>
      </w:r>
      <w:r>
        <w:t xml:space="preserve">. This is where demonstrating chain-of-custody is something you </w:t>
      </w:r>
      <w:r>
        <w:rPr>
          <w:b/>
          <w:bCs/>
        </w:rPr>
        <w:t>can</w:t>
      </w:r>
      <w:r>
        <w:t xml:space="preserve"> </w:t>
      </w:r>
      <w:r>
        <w:rPr>
          <w:b/>
          <w:bCs/>
        </w:rPr>
        <w:t>control, document, and audit</w:t>
      </w:r>
      <w:r>
        <w:t>. Let’s look at it systematically.</w:t>
      </w:r>
    </w:p>
    <w:p w14:paraId="13D84968" w14:textId="0363D84A" w:rsidR="00810A46" w:rsidRPr="00810A46" w:rsidRDefault="00810A46" w:rsidP="00463FDB">
      <w:pPr>
        <w:pStyle w:val="Heading2"/>
      </w:pPr>
      <w:bookmarkStart w:id="48" w:name="_Toc224031144"/>
      <w:r>
        <w:t>Procurement and Vendor Qualification</w:t>
      </w:r>
      <w:bookmarkEnd w:id="48"/>
    </w:p>
    <w:p w14:paraId="6B84DFCA" w14:textId="43BD495F" w:rsidR="00810A46" w:rsidRDefault="00810A46" w:rsidP="00810A46">
      <w:r>
        <w:t xml:space="preserve">Chain-of-custody begins before anything ships. This stage is about </w:t>
      </w:r>
      <w:r>
        <w:rPr>
          <w:b/>
          <w:bCs/>
        </w:rPr>
        <w:t>qualifying your supply chain</w:t>
      </w:r>
      <w:r>
        <w:t xml:space="preserve"> and establishing trust before hardware enters your environment. It doesn’t matter whether it is your existing enterprise infrastructure, on-premise private cloud or hyperscaler use. For the latter they need to attest to these requirements.</w:t>
      </w:r>
    </w:p>
    <w:p w14:paraId="1D2144F3" w14:textId="720631C0" w:rsidR="00223146" w:rsidRPr="00810A46" w:rsidRDefault="00223146" w:rsidP="00B80C51">
      <w:pPr>
        <w:jc w:val="center"/>
      </w:pPr>
      <w:r>
        <w:rPr>
          <w:noProof/>
        </w:rPr>
        <w:lastRenderedPageBreak/>
        <w:drawing>
          <wp:inline distT="0" distB="0" distL="0" distR="0" wp14:anchorId="72AF7D25" wp14:editId="4720815B">
            <wp:extent cx="6261100" cy="3521867"/>
            <wp:effectExtent l="0" t="0" r="6350" b="2540"/>
            <wp:docPr id="490224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4566" name="Picture 490224566"/>
                    <pic:cNvPicPr/>
                  </pic:nvPicPr>
                  <pic:blipFill>
                    <a:blip r:embed="rId14">
                      <a:extLst>
                        <a:ext uri="{28A0092B-C50C-407E-A947-70E740481C1C}">
                          <a14:useLocalDpi xmlns:a14="http://schemas.microsoft.com/office/drawing/2010/main" val="0"/>
                        </a:ext>
                      </a:extLst>
                    </a:blip>
                    <a:stretch>
                      <a:fillRect/>
                    </a:stretch>
                  </pic:blipFill>
                  <pic:spPr>
                    <a:xfrm>
                      <a:off x="0" y="0"/>
                      <a:ext cx="6330684" cy="3561008"/>
                    </a:xfrm>
                    <a:prstGeom prst="rect">
                      <a:avLst/>
                    </a:prstGeom>
                  </pic:spPr>
                </pic:pic>
              </a:graphicData>
            </a:graphic>
          </wp:inline>
        </w:drawing>
      </w:r>
    </w:p>
    <w:p w14:paraId="638A2D62" w14:textId="5A0708E2" w:rsidR="00810A46" w:rsidRPr="00810A46" w:rsidRDefault="00810A46" w:rsidP="008C6E7C">
      <w:pPr>
        <w:pStyle w:val="ListParagraph"/>
        <w:numPr>
          <w:ilvl w:val="0"/>
          <w:numId w:val="18"/>
        </w:numPr>
      </w:pPr>
      <w:r>
        <w:rPr>
          <w:b/>
          <w:bCs/>
        </w:rPr>
        <w:t>Approved Vendor Lists (AVL)</w:t>
      </w:r>
      <w:r>
        <w:t xml:space="preserve"> must be formally established and maintained. Every hardware component, whether it be servers, networking equipment, drives, power units, or cables, must come from vendors on your approved list. Vendors must undergo security vetting that includes country of incorporation, ownership structure (looking for foreign government influence), manufacturing locations, and their own supply chain security practices.</w:t>
      </w:r>
    </w:p>
    <w:p w14:paraId="46FC031C" w14:textId="72E07B63" w:rsidR="00810A46" w:rsidRPr="00810A46" w:rsidRDefault="00810A46" w:rsidP="008C6E7C">
      <w:pPr>
        <w:pStyle w:val="ListParagraph"/>
        <w:numPr>
          <w:ilvl w:val="0"/>
          <w:numId w:val="18"/>
        </w:numPr>
      </w:pPr>
      <w:r>
        <w:rPr>
          <w:b/>
          <w:bCs/>
        </w:rPr>
        <w:t>Bill of Materials (BOM) verification</w:t>
      </w:r>
      <w:r>
        <w:t xml:space="preserve"> is essential. You must obtain and verify the full hardware BOM for every system you procure. This tells you exactly what components are inside such as which CPUs, which NICs, which firmware chips, and which memory. For sovereign deployments, this BOM should be contractually required from your vendor and cross-referenced against your AVL.</w:t>
      </w:r>
    </w:p>
    <w:p w14:paraId="4D102256" w14:textId="4BB8BAD1" w:rsidR="00810A46" w:rsidRPr="00810A46" w:rsidRDefault="00810A46" w:rsidP="008C6E7C">
      <w:pPr>
        <w:pStyle w:val="ListParagraph"/>
        <w:numPr>
          <w:ilvl w:val="0"/>
          <w:numId w:val="18"/>
        </w:numPr>
      </w:pPr>
      <w:r>
        <w:rPr>
          <w:b/>
          <w:bCs/>
        </w:rPr>
        <w:t>Certificates of Origin</w:t>
      </w:r>
      <w:r>
        <w:t xml:space="preserve"> should be obtained for all major components, documenting country of manufacture. This is not foolproof. Components can be transshipped through intermediary countries to obscure origin. But it establishes a documented baseline and creates legal liability for vendors who misrepresent origins.</w:t>
      </w:r>
    </w:p>
    <w:p w14:paraId="7F021CEC" w14:textId="77777777" w:rsidR="00810A46" w:rsidRPr="00810A46" w:rsidRDefault="00810A46" w:rsidP="008C6E7C">
      <w:pPr>
        <w:pStyle w:val="ListParagraph"/>
        <w:numPr>
          <w:ilvl w:val="0"/>
          <w:numId w:val="18"/>
        </w:numPr>
      </w:pPr>
      <w:r>
        <w:rPr>
          <w:b/>
          <w:bCs/>
        </w:rPr>
        <w:t>Trusted Supplier Programs</w:t>
      </w:r>
      <w:r>
        <w:t xml:space="preserve"> exist in some jurisdictions. The US Department of Defense has the </w:t>
      </w:r>
      <w:r>
        <w:rPr>
          <w:b/>
          <w:bCs/>
        </w:rPr>
        <w:t>Trusted Foundry Program</w:t>
      </w:r>
      <w:r>
        <w:t>. The UK has similar frameworks under NCSC guidance. Where these programs exist, procuring through them provides government-backed chain-of-custody assurance for critical components.</w:t>
      </w:r>
    </w:p>
    <w:p w14:paraId="0F1C8837" w14:textId="77777777" w:rsidR="00810A46" w:rsidRPr="00810A46" w:rsidRDefault="00810A46" w:rsidP="008C6E7C">
      <w:pPr>
        <w:pStyle w:val="ListParagraph"/>
        <w:numPr>
          <w:ilvl w:val="0"/>
          <w:numId w:val="18"/>
        </w:numPr>
      </w:pPr>
      <w:r>
        <w:rPr>
          <w:b/>
          <w:bCs/>
        </w:rPr>
        <w:t>SCRM (Supply Chain Risk Management) Frameworks</w:t>
      </w:r>
      <w:r>
        <w:t xml:space="preserve"> should be formally adopted. </w:t>
      </w:r>
      <w:r>
        <w:rPr>
          <w:b/>
          <w:bCs/>
        </w:rPr>
        <w:t>NIST SP 800-161</w:t>
      </w:r>
      <w:r>
        <w:t xml:space="preserve"> is the US federal standard for ICT supply chain risk management and provides a detailed methodology you can adapt for sovereign AI procurement.</w:t>
      </w:r>
    </w:p>
    <w:p w14:paraId="76CF86D3" w14:textId="48DECA53" w:rsidR="00810A46" w:rsidRPr="00810A46" w:rsidRDefault="00810A46" w:rsidP="00463FDB">
      <w:pPr>
        <w:pStyle w:val="Heading2"/>
      </w:pPr>
      <w:bookmarkStart w:id="49" w:name="_Toc224031145"/>
      <w:r>
        <w:lastRenderedPageBreak/>
        <w:t>Manufacturing and Pre-Shipment Verification</w:t>
      </w:r>
      <w:bookmarkEnd w:id="49"/>
    </w:p>
    <w:p w14:paraId="127438A1" w14:textId="77777777" w:rsidR="00810A46" w:rsidRPr="00810A46" w:rsidRDefault="00810A46" w:rsidP="00810A46">
      <w:r>
        <w:t xml:space="preserve">Once components are manufactured and systems are being assembled, the next chain-of-custody stage involves </w:t>
      </w:r>
      <w:r>
        <w:rPr>
          <w:b/>
          <w:bCs/>
        </w:rPr>
        <w:t>verifying integrity before shipment</w:t>
      </w:r>
      <w:r>
        <w:t>.</w:t>
      </w:r>
    </w:p>
    <w:p w14:paraId="0FAD223A" w14:textId="77777777" w:rsidR="00810A46" w:rsidRPr="00810A46" w:rsidRDefault="00810A46" w:rsidP="008C6E7C">
      <w:pPr>
        <w:pStyle w:val="ListParagraph"/>
        <w:numPr>
          <w:ilvl w:val="0"/>
          <w:numId w:val="19"/>
        </w:numPr>
      </w:pPr>
      <w:r>
        <w:rPr>
          <w:b/>
          <w:bCs/>
        </w:rPr>
        <w:t>Factory Audits</w:t>
      </w:r>
      <w:r>
        <w:t xml:space="preserve"> for high-security sovereign deployments should include the right to conduct or commission on-site audits of the assembly facilities producing your systems. You are verifying that the facility is who they say they are, that assembly processes match documented procedures, and that no unauthorized modifications occur during integration.</w:t>
      </w:r>
    </w:p>
    <w:p w14:paraId="0006C538" w14:textId="4AB05C71" w:rsidR="00810A46" w:rsidRPr="00810A46" w:rsidRDefault="00810A46" w:rsidP="008C6E7C">
      <w:pPr>
        <w:pStyle w:val="ListParagraph"/>
        <w:numPr>
          <w:ilvl w:val="0"/>
          <w:numId w:val="19"/>
        </w:numPr>
      </w:pPr>
      <w:r>
        <w:rPr>
          <w:b/>
          <w:bCs/>
        </w:rPr>
        <w:t>Hardware Security Modules (HSM) Pre-Provisioning</w:t>
      </w:r>
      <w:r>
        <w:t>. For systems that will use HSMs for key management, these should ideally be provisioned and sealed before shipment, with the provisioning process witnessed or audited.</w:t>
      </w:r>
    </w:p>
    <w:p w14:paraId="1EC8A706" w14:textId="77777777" w:rsidR="00810A46" w:rsidRPr="00810A46" w:rsidRDefault="00810A46" w:rsidP="008C6E7C">
      <w:pPr>
        <w:pStyle w:val="ListParagraph"/>
        <w:numPr>
          <w:ilvl w:val="0"/>
          <w:numId w:val="19"/>
        </w:numPr>
      </w:pPr>
      <w:r>
        <w:rPr>
          <w:b/>
          <w:bCs/>
        </w:rPr>
        <w:t>Tamper-Evident Sealing</w:t>
      </w:r>
      <w:r>
        <w:t xml:space="preserve"> should be applied to all systems before they leave the factory. This includes tamper-evident tape on chassis, security seals on drive bays and PCIe slots, and photographic documentation of the sealed state. Some high-security deployments use cryptographic attestation of hardware state at the factory, establishing a known-good baseline.</w:t>
      </w:r>
    </w:p>
    <w:p w14:paraId="12BC5512" w14:textId="2C1E9B56" w:rsidR="00810A46" w:rsidRPr="00810A46" w:rsidRDefault="00810A46" w:rsidP="008C6E7C">
      <w:pPr>
        <w:pStyle w:val="ListParagraph"/>
        <w:numPr>
          <w:ilvl w:val="0"/>
          <w:numId w:val="19"/>
        </w:numPr>
      </w:pPr>
      <w:r>
        <w:rPr>
          <w:b/>
          <w:bCs/>
        </w:rPr>
        <w:t>Serialization and Asset Tagging</w:t>
      </w:r>
      <w:r>
        <w:t>. Every component must be serialized at this stage. Serial numbers, MAC addresses, firmware versions, and hardware identifiers should be recorded and stored in your asset management system before shipment. This creates the baseline against which you verify on receipt.</w:t>
      </w:r>
    </w:p>
    <w:p w14:paraId="5E184404" w14:textId="3E688A78" w:rsidR="00810A46" w:rsidRPr="00810A46" w:rsidRDefault="00810A46" w:rsidP="008C6E7C">
      <w:pPr>
        <w:pStyle w:val="ListParagraph"/>
        <w:numPr>
          <w:ilvl w:val="0"/>
          <w:numId w:val="19"/>
        </w:numPr>
      </w:pPr>
      <w:r>
        <w:rPr>
          <w:b/>
          <w:bCs/>
        </w:rPr>
        <w:t>Pre-Shipment Firmware Verification</w:t>
      </w:r>
      <w:r>
        <w:t>. Firmware versions on all components (BIOS, BMC, NIC firmware, drive firmware) should be recorded and ideally cryptographically hashed at the factory. This allows you to detect any firmware modification during transit.</w:t>
      </w:r>
    </w:p>
    <w:p w14:paraId="784DB763" w14:textId="51AFC6C9" w:rsidR="00810A46" w:rsidRPr="00810A46" w:rsidRDefault="00810A46" w:rsidP="00463FDB">
      <w:pPr>
        <w:pStyle w:val="Heading2"/>
      </w:pPr>
      <w:bookmarkStart w:id="50" w:name="_Toc224031146"/>
      <w:r>
        <w:t>Logistics and Transit Chain-of-Custody</w:t>
      </w:r>
      <w:bookmarkEnd w:id="50"/>
    </w:p>
    <w:tbl>
      <w:tblPr>
        <w:tblW w:w="9360" w:type="dxa"/>
        <w:tblBorders>
          <w:left w:val="single" w:sz="18" w:space="0" w:color="B45309"/>
        </w:tblBorders>
        <w:shd w:val="clear" w:color="auto" w:fill="FFFF00"/>
        <w:tblCellMar>
          <w:top w:w="144" w:type="dxa"/>
          <w:left w:w="144" w:type="dxa"/>
          <w:bottom w:w="144" w:type="dxa"/>
          <w:right w:w="144" w:type="dxa"/>
        </w:tblCellMar>
        <w:tblLook w:val="0000" w:firstRow="0" w:lastRow="0" w:firstColumn="0" w:lastColumn="0" w:noHBand="0" w:noVBand="0"/>
      </w:tblPr>
      <w:tblGrid>
        <w:gridCol w:w="9360"/>
      </w:tblGrid>
      <w:tr w:rsidR="004D735D" w14:paraId="6F9B0CB0" w14:textId="77777777" w:rsidTr="00BA286F">
        <w:tc>
          <w:tcPr>
            <w:tcW w:w="9360" w:type="dxa"/>
            <w:shd w:val="clear" w:color="auto" w:fill="FFFF00"/>
            <w:tcMar>
              <w:top w:w="160" w:type="dxa"/>
              <w:left w:w="240" w:type="dxa"/>
              <w:bottom w:w="160" w:type="dxa"/>
              <w:right w:w="240" w:type="dxa"/>
            </w:tcMar>
          </w:tcPr>
          <w:p w14:paraId="1F0BB07C" w14:textId="77777777" w:rsidR="004D735D" w:rsidRDefault="004D735D" w:rsidP="00256FB5">
            <w:pPr>
              <w:spacing w:after="60"/>
              <w:ind w:left="100"/>
            </w:pPr>
            <w:r>
              <w:rPr>
                <w:b/>
                <w:bCs/>
                <w:color w:val="B45309"/>
              </w:rPr>
              <w:t>⚠  Transit Is an Active Attack Surface</w:t>
            </w:r>
          </w:p>
          <w:p w14:paraId="1E7E554C" w14:textId="77777777" w:rsidR="004D735D" w:rsidRDefault="004D735D" w:rsidP="00256FB5">
            <w:pPr>
              <w:ind w:left="100"/>
              <w:jc w:val="both"/>
            </w:pPr>
            <w:r w:rsidRPr="00FE1A0E">
              <w:rPr>
                <w:sz w:val="20"/>
                <w:szCs w:val="20"/>
              </w:rPr>
              <w:t>Hardware can be intercepted, tampered with, and resealed during shipping. The NSA's TAO (Tailored Access Operations) unit was documented intercepting and implanting networking equipment destined for specific targets. This is not a theoretical threat.</w:t>
            </w:r>
          </w:p>
        </w:tc>
      </w:tr>
    </w:tbl>
    <w:p w14:paraId="0152CA61" w14:textId="77777777" w:rsidR="004D735D" w:rsidRDefault="004D735D" w:rsidP="00810A46"/>
    <w:p w14:paraId="70173E33" w14:textId="77777777" w:rsidR="00810A46" w:rsidRPr="00810A46" w:rsidRDefault="00810A46" w:rsidP="008C6E7C">
      <w:pPr>
        <w:pStyle w:val="ListParagraph"/>
        <w:numPr>
          <w:ilvl w:val="0"/>
          <w:numId w:val="20"/>
        </w:numPr>
      </w:pPr>
      <w:r>
        <w:rPr>
          <w:b/>
          <w:bCs/>
        </w:rPr>
        <w:t>Controlled Logistics Channels</w:t>
      </w:r>
      <w:r>
        <w:t xml:space="preserve"> mean using vetted, cleared logistics providers with established chain-of-custody procedures rather than standard commercial freight. For the most sensitive sovereign deployments, this may mean government-controlled transport or escorted delivery.</w:t>
      </w:r>
    </w:p>
    <w:p w14:paraId="46BA2F73" w14:textId="2E59868C" w:rsidR="00810A46" w:rsidRPr="00810A46" w:rsidRDefault="00810A46" w:rsidP="008C6E7C">
      <w:pPr>
        <w:pStyle w:val="ListParagraph"/>
        <w:numPr>
          <w:ilvl w:val="0"/>
          <w:numId w:val="20"/>
        </w:numPr>
      </w:pPr>
      <w:r>
        <w:rPr>
          <w:b/>
          <w:bCs/>
        </w:rPr>
        <w:t>Chain-of-custody documentation</w:t>
      </w:r>
      <w:r>
        <w:t xml:space="preserve"> must travel with the hardware. This is a physical manifest that records every handoff, with signatures at each transfer point. Who had custody, when, for how long, and under what physical security conditions.</w:t>
      </w:r>
    </w:p>
    <w:p w14:paraId="6FBB319B" w14:textId="082C874A" w:rsidR="00810A46" w:rsidRPr="00810A46" w:rsidRDefault="00810A46" w:rsidP="008C6E7C">
      <w:pPr>
        <w:pStyle w:val="ListParagraph"/>
        <w:numPr>
          <w:ilvl w:val="0"/>
          <w:numId w:val="20"/>
        </w:numPr>
      </w:pPr>
      <w:r>
        <w:rPr>
          <w:b/>
          <w:bCs/>
        </w:rPr>
        <w:t>GPS Tracking and Environmental Monitoring</w:t>
      </w:r>
      <w:r>
        <w:t>. Shipment containers should carry GPS trackers and environmental sensors logging temperature, humidity, and shock events. Unexplained route deviations or environmental anomalies trigger inspection protocols.</w:t>
      </w:r>
    </w:p>
    <w:p w14:paraId="7B6AF78C" w14:textId="51375C9D" w:rsidR="00810A46" w:rsidRPr="00810A46" w:rsidRDefault="00810A46" w:rsidP="008C6E7C">
      <w:pPr>
        <w:pStyle w:val="ListParagraph"/>
        <w:numPr>
          <w:ilvl w:val="0"/>
          <w:numId w:val="20"/>
        </w:numPr>
      </w:pPr>
      <w:r>
        <w:rPr>
          <w:b/>
          <w:bCs/>
        </w:rPr>
        <w:lastRenderedPageBreak/>
        <w:t>Delivery Verification on receipt</w:t>
      </w:r>
      <w:r>
        <w:t>. The receiving party must verify tamper-evident seals before signing for delivery. A broken seal does not automatically mean compromise, but it triggers a formal inspection and documentation process before the hardware enters your environment.</w:t>
      </w:r>
    </w:p>
    <w:p w14:paraId="2A95CED6" w14:textId="0C2B8CF1" w:rsidR="00810A46" w:rsidRPr="00810A46" w:rsidRDefault="00810A46" w:rsidP="00463FDB">
      <w:pPr>
        <w:pStyle w:val="Heading2"/>
      </w:pPr>
      <w:bookmarkStart w:id="51" w:name="_Toc224031147"/>
      <w:r>
        <w:t>Receiving and Incoming Inspection</w:t>
      </w:r>
      <w:bookmarkEnd w:id="51"/>
    </w:p>
    <w:p w14:paraId="502CB19F" w14:textId="77777777" w:rsidR="00810A46" w:rsidRPr="00810A46" w:rsidRDefault="00810A46" w:rsidP="00810A46">
      <w:r>
        <w:t xml:space="preserve">When hardware arrives at your facility, it enters a formal </w:t>
      </w:r>
      <w:r>
        <w:rPr>
          <w:b/>
          <w:bCs/>
        </w:rPr>
        <w:t>incoming inspection process</w:t>
      </w:r>
      <w:r>
        <w:t xml:space="preserve"> before it is ever powered on in your production environment.</w:t>
      </w:r>
    </w:p>
    <w:p w14:paraId="5DA6FE58" w14:textId="489368ED" w:rsidR="00810A46" w:rsidRPr="00810A46" w:rsidRDefault="00810A46" w:rsidP="008C6E7C">
      <w:pPr>
        <w:pStyle w:val="ListParagraph"/>
        <w:numPr>
          <w:ilvl w:val="0"/>
          <w:numId w:val="21"/>
        </w:numPr>
      </w:pPr>
      <w:r>
        <w:rPr>
          <w:b/>
          <w:bCs/>
        </w:rPr>
        <w:t>Receiving in a Secure Staging Area</w:t>
      </w:r>
      <w:r>
        <w:t>. Hardware should be received and inspected in a physically separate, access-controlled staging area, never directly on the data center floor. This area should have CCTV coverage with logs retained according to your security policy.</w:t>
      </w:r>
    </w:p>
    <w:p w14:paraId="6A787126" w14:textId="778041EF" w:rsidR="00810A46" w:rsidRPr="00810A46" w:rsidRDefault="00810A46" w:rsidP="008C6E7C">
      <w:pPr>
        <w:pStyle w:val="ListParagraph"/>
        <w:numPr>
          <w:ilvl w:val="0"/>
          <w:numId w:val="21"/>
        </w:numPr>
      </w:pPr>
      <w:r>
        <w:rPr>
          <w:b/>
          <w:bCs/>
        </w:rPr>
        <w:t>Seal and Packaging Verification</w:t>
      </w:r>
      <w:r>
        <w:t>. Every tamper-evident seal is inspected and its condition documented photographically. Serial numbers on external labels are cross-referenced against your pre-shipment records.</w:t>
      </w:r>
    </w:p>
    <w:p w14:paraId="2999B053" w14:textId="67C8C9E7" w:rsidR="00810A46" w:rsidRPr="00810A46" w:rsidRDefault="00810A46" w:rsidP="008C6E7C">
      <w:pPr>
        <w:pStyle w:val="ListParagraph"/>
        <w:numPr>
          <w:ilvl w:val="0"/>
          <w:numId w:val="21"/>
        </w:numPr>
      </w:pPr>
      <w:r>
        <w:rPr>
          <w:b/>
          <w:bCs/>
        </w:rPr>
        <w:t>Physical Inspection</w:t>
      </w:r>
      <w:r>
        <w:t>. Chassis are opened and internal components are visually inspected against the documented BOM. You are looking for unexpected components, modified components, or hardware implants. For the highest security sovereign deployments, this may involve X-ray inspection of PCBs looking for undocumented components. This is a technique used by intelligence agencies and some defense contractors.</w:t>
      </w:r>
    </w:p>
    <w:p w14:paraId="080E1AC0" w14:textId="68D374F4" w:rsidR="00810A46" w:rsidRPr="00810A46" w:rsidRDefault="00810A46" w:rsidP="008C6E7C">
      <w:pPr>
        <w:pStyle w:val="ListParagraph"/>
        <w:numPr>
          <w:ilvl w:val="0"/>
          <w:numId w:val="21"/>
        </w:numPr>
      </w:pPr>
      <w:r>
        <w:rPr>
          <w:b/>
          <w:bCs/>
        </w:rPr>
        <w:t>Firmware Integrity Verification before connecting to any network</w:t>
      </w:r>
      <w:r>
        <w:t>. Firmware on all components is read and cryptographically hashed, then compared against hashes taken at the factory. Any discrepancy triggers a hold and investigation.</w:t>
      </w:r>
    </w:p>
    <w:p w14:paraId="2024ECE0" w14:textId="75A11BEB" w:rsidR="00810A46" w:rsidRDefault="00810A46" w:rsidP="008C6E7C">
      <w:pPr>
        <w:pStyle w:val="ListParagraph"/>
        <w:numPr>
          <w:ilvl w:val="0"/>
          <w:numId w:val="21"/>
        </w:numPr>
      </w:pPr>
      <w:r>
        <w:rPr>
          <w:b/>
          <w:bCs/>
        </w:rPr>
        <w:t>Cryptographic Hardware Attestation</w:t>
      </w:r>
      <w:r>
        <w:t xml:space="preserve">. Modern server platforms support hardware-based attestation through standards like the </w:t>
      </w:r>
      <w:r>
        <w:rPr>
          <w:b/>
          <w:bCs/>
        </w:rPr>
        <w:t>Trusted Platform Module (TPM)</w:t>
      </w:r>
      <w:r>
        <w:t xml:space="preserve"> and </w:t>
      </w:r>
      <w:r>
        <w:rPr>
          <w:b/>
          <w:bCs/>
        </w:rPr>
        <w:t>TCG DICE (Device Identifier Composition Engine)</w:t>
      </w:r>
      <w:r>
        <w:t xml:space="preserve">. These allow you to cryptographically verify that the hardware and firmware configuration matches a known-good state established at the factory. NVIDIA's H100 supports </w:t>
      </w:r>
      <w:r>
        <w:rPr>
          <w:b/>
          <w:bCs/>
        </w:rPr>
        <w:t>Confidential Computing</w:t>
      </w:r>
      <w:r>
        <w:t xml:space="preserve"> features that extend this attestation to the GPU itself. This is arguably the most technically rigorous form of chain-of-custody verification available today.</w:t>
      </w:r>
    </w:p>
    <w:p w14:paraId="70CE2901" w14:textId="517B9C6F" w:rsidR="00810A46" w:rsidRPr="00810A46" w:rsidRDefault="00810A46" w:rsidP="00463FDB">
      <w:pPr>
        <w:pStyle w:val="Heading1"/>
      </w:pPr>
      <w:bookmarkStart w:id="52" w:name="_Toc224031148"/>
      <w:r>
        <w:t>Data Center</w:t>
      </w:r>
      <w:r w:rsidR="00584944">
        <w:t xml:space="preserve"> and Network Infrastructure</w:t>
      </w:r>
      <w:bookmarkEnd w:id="52"/>
    </w:p>
    <w:p w14:paraId="57B1A16C" w14:textId="433B5D99" w:rsidR="00034CD4" w:rsidRDefault="00034CD4" w:rsidP="00463FDB">
      <w:pPr>
        <w:pStyle w:val="Heading2"/>
      </w:pPr>
      <w:bookmarkStart w:id="53" w:name="_Toc224031149"/>
      <w:r>
        <w:t>Dat</w:t>
      </w:r>
      <w:r w:rsidR="00030B75">
        <w:t>a</w:t>
      </w:r>
      <w:r>
        <w:t xml:space="preserve"> Center Physical Security</w:t>
      </w:r>
      <w:bookmarkEnd w:id="53"/>
    </w:p>
    <w:p w14:paraId="5E691D57" w14:textId="1D9E29AD" w:rsidR="006E4EA1" w:rsidRDefault="006E4EA1" w:rsidP="006E4EA1">
      <w:pPr>
        <w:spacing w:before="80" w:after="80"/>
        <w:jc w:val="both"/>
      </w:pPr>
      <w:r>
        <w:rPr>
          <w:color w:val="333333"/>
        </w:rPr>
        <w:t>Physical security of the facility is the chain-of-custody domain once hardware is ready for deployment. A credible sovereign data center implements concentric security zones: perimeter security, building access control, data hall access control, and cage or rack-level access control. Each zone transition is logged with identity, timestamp, and purpose.</w:t>
      </w:r>
    </w:p>
    <w:p w14:paraId="1083D163" w14:textId="5CFDE188" w:rsidR="00810A46" w:rsidRPr="00810A46" w:rsidRDefault="00810A46" w:rsidP="008C6E7C">
      <w:pPr>
        <w:pStyle w:val="ListParagraph"/>
        <w:numPr>
          <w:ilvl w:val="0"/>
          <w:numId w:val="22"/>
        </w:numPr>
      </w:pPr>
      <w:r>
        <w:rPr>
          <w:b/>
          <w:bCs/>
        </w:rPr>
        <w:t>Access Control Systems</w:t>
      </w:r>
      <w:r>
        <w:t xml:space="preserve"> should use multi-factor authentication which includes badge plus biometric for data hall access. All access events are logged to an immutable audit system. Access lists are reviewed and recertified on a regular schedule.</w:t>
      </w:r>
    </w:p>
    <w:p w14:paraId="2C047817" w14:textId="7384E0AF" w:rsidR="00810A46" w:rsidRPr="00810A46" w:rsidRDefault="00810A46" w:rsidP="008C6E7C">
      <w:pPr>
        <w:pStyle w:val="ListParagraph"/>
        <w:numPr>
          <w:ilvl w:val="0"/>
          <w:numId w:val="22"/>
        </w:numPr>
      </w:pPr>
      <w:r>
        <w:rPr>
          <w:b/>
          <w:bCs/>
        </w:rPr>
        <w:lastRenderedPageBreak/>
        <w:t>CCTV Coverage with sufficient retention</w:t>
      </w:r>
      <w:r>
        <w:t>. Typically, 90 days minimum for sovereign deployments covering all data hall areas, access points, loading docks, and staging areas. Camera systems themselves must be from trusted vendors; there has been significant concern about Chinese-manufactured surveillance cameras (Hikvision, Dahua) in sensitive facilities, leading to bans in US federal facilities.</w:t>
      </w:r>
    </w:p>
    <w:p w14:paraId="427FDBE1" w14:textId="2436D37C" w:rsidR="00810A46" w:rsidRPr="00810A46" w:rsidRDefault="00810A46" w:rsidP="008C6E7C">
      <w:pPr>
        <w:pStyle w:val="ListParagraph"/>
        <w:numPr>
          <w:ilvl w:val="0"/>
          <w:numId w:val="22"/>
        </w:numPr>
      </w:pPr>
      <w:r>
        <w:rPr>
          <w:b/>
          <w:bCs/>
        </w:rPr>
        <w:t>Two-Person Integrity (TPI) Rules for the most sensitive operations</w:t>
      </w:r>
      <w:r>
        <w:t>. No single individual should be able to access production systems alone without a witness. This is standard in high-security government and defense data centers.</w:t>
      </w:r>
    </w:p>
    <w:p w14:paraId="3E231231" w14:textId="383DCFD1" w:rsidR="00810A46" w:rsidRPr="00810A46" w:rsidRDefault="00810A46" w:rsidP="008C6E7C">
      <w:pPr>
        <w:pStyle w:val="ListParagraph"/>
        <w:numPr>
          <w:ilvl w:val="0"/>
          <w:numId w:val="22"/>
        </w:numPr>
      </w:pPr>
      <w:r>
        <w:rPr>
          <w:b/>
          <w:bCs/>
        </w:rPr>
        <w:t>Rack and Cage Security</w:t>
      </w:r>
      <w:r>
        <w:t>. Individual racks should be locked, with electronic access logs. For sovereign deployments, rack access events are as important to log as building access events.</w:t>
      </w:r>
    </w:p>
    <w:p w14:paraId="627DB844" w14:textId="5DBDA519" w:rsidR="00810A46" w:rsidRPr="00810A46" w:rsidRDefault="00810A46" w:rsidP="008C6E7C">
      <w:pPr>
        <w:pStyle w:val="ListParagraph"/>
        <w:numPr>
          <w:ilvl w:val="0"/>
          <w:numId w:val="22"/>
        </w:numPr>
      </w:pPr>
      <w:r>
        <w:rPr>
          <w:b/>
          <w:bCs/>
        </w:rPr>
        <w:t>Environmental Systems</w:t>
      </w:r>
      <w:r>
        <w:t>. Power, cooling, fire suppression, and physical security systems themselves must be sourced from trusted vendors and monitored for tampering or unexpected configuration changes.</w:t>
      </w:r>
    </w:p>
    <w:p w14:paraId="0C12FA13" w14:textId="247979E9" w:rsidR="00810A46" w:rsidRPr="00810A46" w:rsidRDefault="00810A46" w:rsidP="008C6E7C">
      <w:pPr>
        <w:pStyle w:val="ListParagraph"/>
        <w:numPr>
          <w:ilvl w:val="0"/>
          <w:numId w:val="22"/>
        </w:numPr>
      </w:pPr>
      <w:r>
        <w:rPr>
          <w:b/>
          <w:bCs/>
        </w:rPr>
        <w:t>Sovereign Data Center Certification</w:t>
      </w:r>
      <w:r>
        <w:t xml:space="preserve">. Facilities can be certified against recognized standards that provide third-party assurance of physical security controls. Relevant standards include </w:t>
      </w:r>
      <w:r>
        <w:rPr>
          <w:b/>
          <w:bCs/>
        </w:rPr>
        <w:t>ISO 27001</w:t>
      </w:r>
      <w:r>
        <w:t xml:space="preserve">, </w:t>
      </w:r>
      <w:r>
        <w:rPr>
          <w:b/>
          <w:bCs/>
        </w:rPr>
        <w:t>SOC 2 Type II</w:t>
      </w:r>
      <w:r>
        <w:t xml:space="preserve">, </w:t>
      </w:r>
      <w:r>
        <w:rPr>
          <w:b/>
          <w:bCs/>
        </w:rPr>
        <w:t>NIST SP 800-53</w:t>
      </w:r>
      <w:r>
        <w:t xml:space="preserve">, and for government facilities country-specific frameworks like the US </w:t>
      </w:r>
      <w:r>
        <w:rPr>
          <w:b/>
          <w:bCs/>
        </w:rPr>
        <w:t>FedRAMP</w:t>
      </w:r>
      <w:r>
        <w:t xml:space="preserve">, UK </w:t>
      </w:r>
      <w:r>
        <w:rPr>
          <w:b/>
          <w:bCs/>
        </w:rPr>
        <w:t>Cyber Essentials Plus</w:t>
      </w:r>
      <w:r>
        <w:t xml:space="preserve">, or </w:t>
      </w:r>
      <w:r>
        <w:rPr>
          <w:b/>
          <w:bCs/>
        </w:rPr>
        <w:t>IRAP</w:t>
      </w:r>
      <w:r>
        <w:t xml:space="preserve"> in Australia.</w:t>
      </w:r>
    </w:p>
    <w:p w14:paraId="40FBECAE" w14:textId="3B5EBA52" w:rsidR="00810A46" w:rsidRPr="00810A46" w:rsidRDefault="00810A46" w:rsidP="00463FDB">
      <w:pPr>
        <w:pStyle w:val="Heading2"/>
      </w:pPr>
      <w:bookmarkStart w:id="54" w:name="_Toc224031150"/>
      <w:r>
        <w:t>Network Infrastructure</w:t>
      </w:r>
      <w:bookmarkEnd w:id="54"/>
    </w:p>
    <w:p w14:paraId="1BB39FFC" w14:textId="77777777" w:rsidR="00810A46" w:rsidRPr="00810A46" w:rsidRDefault="00810A46" w:rsidP="00810A46">
      <w:r>
        <w:t>The network layer introduces its own chain-of-custody requirements, particularly important for AI clusters where high-speed interconnects carry training data and model weights.</w:t>
      </w:r>
    </w:p>
    <w:p w14:paraId="550D590B" w14:textId="280A17D1" w:rsidR="00810A46" w:rsidRPr="00810A46" w:rsidRDefault="00810A46" w:rsidP="008C6E7C">
      <w:pPr>
        <w:pStyle w:val="ListParagraph"/>
        <w:numPr>
          <w:ilvl w:val="0"/>
          <w:numId w:val="23"/>
        </w:numPr>
      </w:pPr>
      <w:r>
        <w:rPr>
          <w:b/>
          <w:bCs/>
        </w:rPr>
        <w:t>Network Equipment Provenance</w:t>
      </w:r>
      <w:r>
        <w:t>. All switches, routers, load balancers, and out-of-band management devices must go through the same vendor qualification and incoming inspection process as servers. Cisco, Juniper, and Arista are common trusted choices for sovereign deployments; equipment from vendors with ties to adversary nations is generally excluded.</w:t>
      </w:r>
    </w:p>
    <w:p w14:paraId="7C1DD44F" w14:textId="6E82D209" w:rsidR="00810A46" w:rsidRPr="00810A46" w:rsidRDefault="00810A46" w:rsidP="008C6E7C">
      <w:pPr>
        <w:pStyle w:val="ListParagraph"/>
        <w:numPr>
          <w:ilvl w:val="0"/>
          <w:numId w:val="23"/>
        </w:numPr>
      </w:pPr>
      <w:r>
        <w:rPr>
          <w:b/>
          <w:bCs/>
        </w:rPr>
        <w:t>Out-of-Band Management Networks</w:t>
      </w:r>
      <w:r>
        <w:t>. BMC/IPMI management interfaces must be on a completely separate, air-gapped, or tightly controlled network. This is the most dangerous attack surface in a data center. A compromised BMC gives an attacker persistent, hardware-level access that survives OS reinstalls. Chain-of-custody for BMC access credentials and network access must be meticulously controlled.</w:t>
      </w:r>
    </w:p>
    <w:p w14:paraId="1F66C852" w14:textId="2EC766C2" w:rsidR="00810A46" w:rsidRPr="00810A46" w:rsidRDefault="00810A46" w:rsidP="008C6E7C">
      <w:pPr>
        <w:pStyle w:val="ListParagraph"/>
        <w:numPr>
          <w:ilvl w:val="0"/>
          <w:numId w:val="23"/>
        </w:numPr>
      </w:pPr>
      <w:r>
        <w:rPr>
          <w:b/>
          <w:bCs/>
        </w:rPr>
        <w:t>Network Segmentation and Microsegmentation</w:t>
      </w:r>
      <w:r>
        <w:t>. AI training clusters, inference infrastructure, management networks, and external-facing networks should be strictly segmented. Traffic flows between segments must be explicitly authorized, logged, and auditable.</w:t>
      </w:r>
    </w:p>
    <w:p w14:paraId="451FC1BD" w14:textId="3737F88B" w:rsidR="00810A46" w:rsidRPr="00810A46" w:rsidRDefault="00810A46" w:rsidP="008C6E7C">
      <w:pPr>
        <w:pStyle w:val="ListParagraph"/>
        <w:numPr>
          <w:ilvl w:val="0"/>
          <w:numId w:val="23"/>
        </w:numPr>
      </w:pPr>
      <w:r>
        <w:rPr>
          <w:b/>
          <w:bCs/>
        </w:rPr>
        <w:t>Encrypted Interconnects</w:t>
      </w:r>
      <w:r>
        <w:t>. Data in transit across your AI cluster network, even within the data center, should be encrypted. For InfiniBand networks used in GPU clusters, this requires explicit configuration as encryption is not always on by default.</w:t>
      </w:r>
    </w:p>
    <w:p w14:paraId="6E58423B" w14:textId="4F193DD4" w:rsidR="00810A46" w:rsidRPr="00810A46" w:rsidRDefault="00810A46" w:rsidP="008C6E7C">
      <w:pPr>
        <w:pStyle w:val="ListParagraph"/>
        <w:numPr>
          <w:ilvl w:val="0"/>
          <w:numId w:val="23"/>
        </w:numPr>
      </w:pPr>
      <w:r>
        <w:rPr>
          <w:b/>
          <w:bCs/>
        </w:rPr>
        <w:t>Network Flow Logging</w:t>
      </w:r>
      <w:r w:rsidR="00EB248A">
        <w:t>.</w:t>
      </w:r>
      <w:r>
        <w:t xml:space="preserve"> </w:t>
      </w:r>
      <w:r w:rsidR="00EB248A">
        <w:t>A</w:t>
      </w:r>
      <w:r>
        <w:t>ll network flows should be logged to an immutable, centralized logging system for audit and incident response purposes.</w:t>
      </w:r>
    </w:p>
    <w:p w14:paraId="353BA30E" w14:textId="0D8C04AA" w:rsidR="00810A46" w:rsidRPr="00810A46" w:rsidRDefault="00810A46" w:rsidP="00463FDB">
      <w:pPr>
        <w:pStyle w:val="Heading2"/>
      </w:pPr>
      <w:bookmarkStart w:id="55" w:name="_Toc224031151"/>
      <w:r>
        <w:lastRenderedPageBreak/>
        <w:t>Hyperscaler and Cloud</w:t>
      </w:r>
      <w:bookmarkEnd w:id="55"/>
    </w:p>
    <w:p w14:paraId="4BEB274D" w14:textId="51C7FE76" w:rsidR="00810A46" w:rsidRPr="00810A46" w:rsidRDefault="00EB248A" w:rsidP="00810A46">
      <w:r>
        <w:t>When</w:t>
      </w:r>
      <w:r w:rsidR="00810A46">
        <w:t xml:space="preserve"> any component of your sovereign AI build runs on a hyperscaler or a sovereign cloud provider the chain-of-custody model changes significantly because you do not own the physical hardware. This requires a different evidence framework.</w:t>
      </w:r>
    </w:p>
    <w:p w14:paraId="174F9F4C" w14:textId="7E7A73DF" w:rsidR="00810A46" w:rsidRPr="00810A46" w:rsidRDefault="00810A46" w:rsidP="008C6E7C">
      <w:pPr>
        <w:pStyle w:val="ListParagraph"/>
        <w:numPr>
          <w:ilvl w:val="0"/>
          <w:numId w:val="24"/>
        </w:numPr>
      </w:pPr>
      <w:r>
        <w:rPr>
          <w:b/>
          <w:bCs/>
        </w:rPr>
        <w:t>Sovereign Cloud Agreements</w:t>
      </w:r>
      <w:r>
        <w:t xml:space="preserve"> must contractually specify data residency. This includes where your workloads and data physically reside and include audit rights that allow you to verify compliance. Standard commercial cloud agreements do not provide this; you need negotiated sovereign or government cloud terms.</w:t>
      </w:r>
    </w:p>
    <w:p w14:paraId="649EF6C8" w14:textId="23A8E322" w:rsidR="00810A46" w:rsidRPr="00810A46" w:rsidRDefault="00810A46" w:rsidP="008C6E7C">
      <w:pPr>
        <w:pStyle w:val="ListParagraph"/>
        <w:numPr>
          <w:ilvl w:val="0"/>
          <w:numId w:val="24"/>
        </w:numPr>
      </w:pPr>
      <w:r>
        <w:rPr>
          <w:b/>
          <w:bCs/>
        </w:rPr>
        <w:t>Dedicated Infrastructure Options</w:t>
      </w:r>
      <w:r>
        <w:t xml:space="preserve">. Rather than shared multi-tenant infrastructure, sovereign AI workloads should use dedicated options where available. AWS offers </w:t>
      </w:r>
      <w:r>
        <w:rPr>
          <w:b/>
          <w:bCs/>
        </w:rPr>
        <w:t>Dedicated Hosts</w:t>
      </w:r>
      <w:r>
        <w:t xml:space="preserve"> and </w:t>
      </w:r>
      <w:r>
        <w:rPr>
          <w:b/>
          <w:bCs/>
        </w:rPr>
        <w:t>Dedicated Instances</w:t>
      </w:r>
      <w:r>
        <w:t xml:space="preserve">. Azure offers </w:t>
      </w:r>
      <w:r>
        <w:rPr>
          <w:b/>
          <w:bCs/>
        </w:rPr>
        <w:t>Dedicated Hosts</w:t>
      </w:r>
      <w:r>
        <w:t>. These provide physical isolation but still run on hardware you do not own or control at the firmware level.</w:t>
      </w:r>
    </w:p>
    <w:p w14:paraId="416E3E22" w14:textId="77777777" w:rsidR="00810A46" w:rsidRPr="00810A46" w:rsidRDefault="00810A46" w:rsidP="008C6E7C">
      <w:pPr>
        <w:pStyle w:val="ListParagraph"/>
        <w:numPr>
          <w:ilvl w:val="0"/>
          <w:numId w:val="24"/>
        </w:numPr>
      </w:pPr>
      <w:r>
        <w:rPr>
          <w:b/>
          <w:bCs/>
        </w:rPr>
        <w:t>Confidential Computing</w:t>
      </w:r>
      <w:r>
        <w:t xml:space="preserve"> is the most important technical development for sovereign AI in cloud environments. It allows workloads to run in hardware-protected enclaves where even the cloud provider cannot access the data or code. </w:t>
      </w:r>
      <w:r>
        <w:rPr>
          <w:b/>
          <w:bCs/>
        </w:rPr>
        <w:t>AMD SEV-SNP</w:t>
      </w:r>
      <w:r>
        <w:t xml:space="preserve"> (Secure Encrypted Virtualization - Secure Nested Paging), </w:t>
      </w:r>
      <w:r>
        <w:rPr>
          <w:b/>
          <w:bCs/>
        </w:rPr>
        <w:t>Intel TDX</w:t>
      </w:r>
      <w:r>
        <w:t xml:space="preserve"> (Trust Domain Extensions), and </w:t>
      </w:r>
      <w:r>
        <w:rPr>
          <w:b/>
          <w:bCs/>
        </w:rPr>
        <w:t>NVIDIA Confidential Computing</w:t>
      </w:r>
      <w:r>
        <w:t xml:space="preserve"> on H100/H100 GPUs provide hardware-enforced isolation with cryptographic attestation. This means you can verify, cryptographically, that your workload is running on genuine, unmodified hardware in a genuine, unmodified trusted execution environment — without trusting the cloud provider's staff or management plane.</w:t>
      </w:r>
    </w:p>
    <w:p w14:paraId="3D527246" w14:textId="4D6B14AD" w:rsidR="00810A46" w:rsidRPr="00810A46" w:rsidRDefault="00810A46" w:rsidP="008C6E7C">
      <w:pPr>
        <w:pStyle w:val="ListParagraph"/>
        <w:numPr>
          <w:ilvl w:val="0"/>
          <w:numId w:val="24"/>
        </w:numPr>
      </w:pPr>
      <w:r>
        <w:rPr>
          <w:b/>
          <w:bCs/>
        </w:rPr>
        <w:t>Third-Party Audit Rights</w:t>
      </w:r>
      <w:r>
        <w:t>. Your sovereign cloud agreement should include the right to receive third-party audit reports (SOC 2, ISO 27001) and ideally to conduct your own audits or inspections. Without audit rights, you are taking the provider's word for their security posture.</w:t>
      </w:r>
    </w:p>
    <w:p w14:paraId="1EF6ABB1" w14:textId="010FCFBF" w:rsidR="00810A46" w:rsidRPr="00810A46" w:rsidRDefault="00810A46" w:rsidP="008C6E7C">
      <w:pPr>
        <w:pStyle w:val="ListParagraph"/>
        <w:numPr>
          <w:ilvl w:val="0"/>
          <w:numId w:val="24"/>
        </w:numPr>
      </w:pPr>
      <w:r>
        <w:rPr>
          <w:b/>
          <w:bCs/>
        </w:rPr>
        <w:t>Key Management Sovereignty</w:t>
      </w:r>
      <w:r>
        <w:t xml:space="preserve">. Encryption keys for your data must be held by you, not the cloud provider. This means using </w:t>
      </w:r>
      <w:r>
        <w:rPr>
          <w:b/>
          <w:bCs/>
        </w:rPr>
        <w:t>Customer Managed Keys (CMK)</w:t>
      </w:r>
      <w:r>
        <w:t xml:space="preserve"> with keys stored in HSMs that you control ideally on-premises HSMs connected to the cloud via private network links, not HSMs operated by the cloud provider. </w:t>
      </w:r>
      <w:r>
        <w:rPr>
          <w:b/>
          <w:bCs/>
        </w:rPr>
        <w:t>Azure Key Vault Managed HSM</w:t>
      </w:r>
      <w:r>
        <w:t xml:space="preserve">, </w:t>
      </w:r>
      <w:r>
        <w:rPr>
          <w:b/>
          <w:bCs/>
        </w:rPr>
        <w:t>AWS CloudHSM</w:t>
      </w:r>
      <w:r>
        <w:t xml:space="preserve">, and </w:t>
      </w:r>
      <w:r>
        <w:rPr>
          <w:b/>
          <w:bCs/>
        </w:rPr>
        <w:t>Google Cloud HSM</w:t>
      </w:r>
      <w:r>
        <w:t xml:space="preserve"> are provider-operated options; for true sovereignty you want your own HSM on your premises holding the root keys.</w:t>
      </w:r>
    </w:p>
    <w:p w14:paraId="78256AFB" w14:textId="4018B7F7" w:rsidR="00810A46" w:rsidRPr="00810A46" w:rsidRDefault="00810A46" w:rsidP="008C6E7C">
      <w:pPr>
        <w:pStyle w:val="ListParagraph"/>
        <w:numPr>
          <w:ilvl w:val="0"/>
          <w:numId w:val="24"/>
        </w:numPr>
      </w:pPr>
      <w:r>
        <w:rPr>
          <w:b/>
          <w:bCs/>
        </w:rPr>
        <w:t>Egress and Data Portability</w:t>
      </w:r>
      <w:r>
        <w:t>. Your agreement must guarantee that you can extract all your data, models, and artifacts at any time without unreasonable restriction or cost. Vendor lock-in at the data layer is a sovereignty risk.</w:t>
      </w:r>
    </w:p>
    <w:p w14:paraId="4E861C8A" w14:textId="275972D8" w:rsidR="00810A46" w:rsidRPr="00810A46" w:rsidRDefault="00810A46" w:rsidP="008C6E7C">
      <w:pPr>
        <w:pStyle w:val="ListParagraph"/>
        <w:numPr>
          <w:ilvl w:val="0"/>
          <w:numId w:val="24"/>
        </w:numPr>
      </w:pPr>
      <w:r>
        <w:rPr>
          <w:b/>
          <w:bCs/>
        </w:rPr>
        <w:t>Personnel Security</w:t>
      </w:r>
      <w:r>
        <w:t xml:space="preserve">. For the highest-tier sovereign cloud deployments, you should require that personnel with access to your dedicated infrastructure hold appropriate security clearances from your nation's vetting authority, or at minimum be nationals of your country. Microsoft's </w:t>
      </w:r>
      <w:r>
        <w:rPr>
          <w:b/>
          <w:bCs/>
        </w:rPr>
        <w:t>Azure Government Secret</w:t>
      </w:r>
      <w:r>
        <w:t xml:space="preserve"> and </w:t>
      </w:r>
      <w:r>
        <w:rPr>
          <w:b/>
          <w:bCs/>
        </w:rPr>
        <w:t>Azure Government Top Secret</w:t>
      </w:r>
      <w:r>
        <w:t xml:space="preserve"> clouds operate on this basis for US classified workloads.</w:t>
      </w:r>
    </w:p>
    <w:p w14:paraId="24E23EA8" w14:textId="6D7C86C1" w:rsidR="00810A46" w:rsidRPr="00810A46" w:rsidRDefault="00810A46" w:rsidP="00463FDB">
      <w:pPr>
        <w:pStyle w:val="Heading1"/>
      </w:pPr>
      <w:bookmarkStart w:id="56" w:name="_Toc224031152"/>
      <w:r>
        <w:lastRenderedPageBreak/>
        <w:t>AI Software Stack</w:t>
      </w:r>
      <w:bookmarkEnd w:id="56"/>
    </w:p>
    <w:tbl>
      <w:tblPr>
        <w:tblStyle w:val="TableGrid"/>
        <w:tblW w:w="0" w:type="auto"/>
        <w:tblBorders>
          <w:top w:val="none" w:sz="0" w:space="0" w:color="auto"/>
          <w:left w:val="single" w:sz="24" w:space="0" w:color="C00000"/>
          <w:bottom w:val="none" w:sz="0" w:space="0" w:color="auto"/>
          <w:right w:val="none" w:sz="0" w:space="0" w:color="auto"/>
          <w:insideH w:val="none" w:sz="0" w:space="0" w:color="auto"/>
          <w:insideV w:val="none" w:sz="0" w:space="0" w:color="auto"/>
        </w:tblBorders>
        <w:shd w:val="clear" w:color="auto" w:fill="FFFF00"/>
        <w:tblCellMar>
          <w:top w:w="144" w:type="dxa"/>
          <w:left w:w="144" w:type="dxa"/>
          <w:bottom w:w="144" w:type="dxa"/>
          <w:right w:w="144" w:type="dxa"/>
        </w:tblCellMar>
        <w:tblLook w:val="04A0" w:firstRow="1" w:lastRow="0" w:firstColumn="1" w:lastColumn="0" w:noHBand="0" w:noVBand="1"/>
      </w:tblPr>
      <w:tblGrid>
        <w:gridCol w:w="9330"/>
      </w:tblGrid>
      <w:tr w:rsidR="006E3172" w14:paraId="4E5C9173" w14:textId="77777777" w:rsidTr="00BA286F">
        <w:tc>
          <w:tcPr>
            <w:tcW w:w="9350" w:type="dxa"/>
            <w:shd w:val="clear" w:color="auto" w:fill="FFFF00"/>
          </w:tcPr>
          <w:p w14:paraId="55344697" w14:textId="77777777" w:rsidR="00256FB5" w:rsidRDefault="00256FB5" w:rsidP="00256FB5">
            <w:pPr>
              <w:spacing w:after="60"/>
              <w:ind w:left="310"/>
            </w:pPr>
            <w:r>
              <w:rPr>
                <w:b/>
                <w:bCs/>
                <w:color w:val="B45309"/>
              </w:rPr>
              <w:t>⚠  The Most Underestimated Risk</w:t>
            </w:r>
          </w:p>
          <w:p w14:paraId="636FAD69" w14:textId="007FBFD9" w:rsidR="00256FB5" w:rsidRPr="00BA286F" w:rsidRDefault="00256FB5" w:rsidP="00BA286F">
            <w:pPr>
              <w:ind w:left="310"/>
              <w:rPr>
                <w:sz w:val="20"/>
                <w:szCs w:val="20"/>
              </w:rPr>
            </w:pPr>
            <w:r w:rsidRPr="00FE1A0E">
              <w:rPr>
                <w:sz w:val="20"/>
                <w:szCs w:val="20"/>
              </w:rPr>
              <w:t>Many sovereign AI programs invest heavily in hardware provenance and physical security, then deploy a software stack that quietly calls home to foreign servers, pulls dependencies from unvetted repositories, or processes data through third-party APIs outside their jurisdiction. The software stack can undermine every previous sovereignty measure you have taken.</w:t>
            </w:r>
          </w:p>
        </w:tc>
      </w:tr>
    </w:tbl>
    <w:p w14:paraId="627D877E" w14:textId="77777777" w:rsidR="006E3172" w:rsidRDefault="006E3172" w:rsidP="00810A46"/>
    <w:p w14:paraId="5D526A9D" w14:textId="45B85A67" w:rsidR="00B80C51" w:rsidRPr="00810A46" w:rsidRDefault="00B80C51" w:rsidP="00B80C51">
      <w:pPr>
        <w:jc w:val="center"/>
      </w:pPr>
      <w:r>
        <w:rPr>
          <w:noProof/>
        </w:rPr>
        <w:drawing>
          <wp:inline distT="0" distB="0" distL="0" distR="0" wp14:anchorId="4C70FCFB" wp14:editId="78436F82">
            <wp:extent cx="5137150" cy="2889647"/>
            <wp:effectExtent l="0" t="0" r="6350" b="6350"/>
            <wp:docPr id="2012733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33133" name="Picture 2012733133"/>
                    <pic:cNvPicPr/>
                  </pic:nvPicPr>
                  <pic:blipFill>
                    <a:blip r:embed="rId15">
                      <a:extLst>
                        <a:ext uri="{28A0092B-C50C-407E-A947-70E740481C1C}">
                          <a14:useLocalDpi xmlns:a14="http://schemas.microsoft.com/office/drawing/2010/main" val="0"/>
                        </a:ext>
                      </a:extLst>
                    </a:blip>
                    <a:stretch>
                      <a:fillRect/>
                    </a:stretch>
                  </pic:blipFill>
                  <pic:spPr>
                    <a:xfrm>
                      <a:off x="0" y="0"/>
                      <a:ext cx="5140784" cy="2891691"/>
                    </a:xfrm>
                    <a:prstGeom prst="rect">
                      <a:avLst/>
                    </a:prstGeom>
                  </pic:spPr>
                </pic:pic>
              </a:graphicData>
            </a:graphic>
          </wp:inline>
        </w:drawing>
      </w:r>
    </w:p>
    <w:p w14:paraId="4556F7BF" w14:textId="77777777" w:rsidR="00055416" w:rsidRDefault="00055416" w:rsidP="00810A46"/>
    <w:tbl>
      <w:tblPr>
        <w:tblStyle w:val="TableGrid"/>
        <w:tblW w:w="0" w:type="auto"/>
        <w:tblBorders>
          <w:top w:val="none" w:sz="0" w:space="0" w:color="auto"/>
          <w:left w:val="single" w:sz="24" w:space="0" w:color="215E99" w:themeColor="text2" w:themeTint="BF"/>
          <w:bottom w:val="none" w:sz="0" w:space="0" w:color="auto"/>
          <w:right w:val="none" w:sz="0" w:space="0" w:color="auto"/>
          <w:insideH w:val="none" w:sz="0" w:space="0" w:color="auto"/>
          <w:insideV w:val="none" w:sz="0" w:space="0" w:color="auto"/>
        </w:tblBorders>
        <w:shd w:val="clear" w:color="auto" w:fill="A5C9EB" w:themeFill="text2" w:themeFillTint="40"/>
        <w:tblCellMar>
          <w:top w:w="144" w:type="dxa"/>
          <w:left w:w="144" w:type="dxa"/>
          <w:bottom w:w="144" w:type="dxa"/>
          <w:right w:w="144" w:type="dxa"/>
        </w:tblCellMar>
        <w:tblLook w:val="04A0" w:firstRow="1" w:lastRow="0" w:firstColumn="1" w:lastColumn="0" w:noHBand="0" w:noVBand="1"/>
      </w:tblPr>
      <w:tblGrid>
        <w:gridCol w:w="9330"/>
      </w:tblGrid>
      <w:tr w:rsidR="00055416" w14:paraId="0B3CE22C" w14:textId="77777777" w:rsidTr="00F85689">
        <w:tc>
          <w:tcPr>
            <w:tcW w:w="9350" w:type="dxa"/>
            <w:shd w:val="clear" w:color="auto" w:fill="A5C9EB" w:themeFill="text2" w:themeFillTint="40"/>
          </w:tcPr>
          <w:p w14:paraId="1000815B" w14:textId="6D5EF77B" w:rsidR="00C20687" w:rsidRPr="00C20687" w:rsidRDefault="00C20687" w:rsidP="00366203">
            <w:pPr>
              <w:tabs>
                <w:tab w:val="left" w:pos="2060"/>
              </w:tabs>
              <w:ind w:left="130"/>
              <w:rPr>
                <w:b/>
                <w:bCs/>
                <w:szCs w:val="20"/>
              </w:rPr>
            </w:pPr>
            <w:r w:rsidRPr="00C20687">
              <w:rPr>
                <w:b/>
                <w:bCs/>
                <w:szCs w:val="20"/>
              </w:rPr>
              <w:t>The Governing Principle</w:t>
            </w:r>
          </w:p>
          <w:p w14:paraId="05E05C2D" w14:textId="5CEA3813" w:rsidR="00C20687" w:rsidRPr="002C3568" w:rsidRDefault="00C20687" w:rsidP="00366203">
            <w:pPr>
              <w:tabs>
                <w:tab w:val="left" w:pos="2060"/>
              </w:tabs>
              <w:ind w:left="130"/>
              <w:rPr>
                <w:color w:val="333333"/>
                <w:sz w:val="20"/>
                <w:szCs w:val="20"/>
              </w:rPr>
            </w:pPr>
            <w:r>
              <w:rPr>
                <w:color w:val="333333"/>
                <w:sz w:val="20"/>
                <w:szCs w:val="20"/>
              </w:rPr>
              <w:t>Every component of the software stack that touches sovereign data, model weights, or infrastructure must be under your jurisdiction, auditable by you, and controllable by you with no undisclosed external dependencies. This applies from firmware sitting just above the hardware up to the user-facing application layer.</w:t>
            </w:r>
          </w:p>
        </w:tc>
      </w:tr>
    </w:tbl>
    <w:p w14:paraId="0EBCB263" w14:textId="77777777" w:rsidR="00055416" w:rsidRDefault="00055416" w:rsidP="00810A46"/>
    <w:p w14:paraId="371452CB" w14:textId="75369075" w:rsidR="00810A46" w:rsidRPr="00810A46" w:rsidRDefault="00810A46" w:rsidP="005B4DFC">
      <w:pPr>
        <w:pStyle w:val="Heading2"/>
      </w:pPr>
      <w:bookmarkStart w:id="57" w:name="_Toc224031153"/>
      <w:r>
        <w:t>Firmware and Low-Level Software</w:t>
      </w:r>
      <w:bookmarkEnd w:id="57"/>
    </w:p>
    <w:p w14:paraId="21B8FA3C" w14:textId="77A2DFE4" w:rsidR="00810A46" w:rsidRPr="00810A46" w:rsidRDefault="00810A46" w:rsidP="00810A46">
      <w:r>
        <w:t>This layer sits just above the hardware and is frequently overlooked in software sovereignty planning, yet it represents one of the highest risk surfaces.</w:t>
      </w:r>
    </w:p>
    <w:p w14:paraId="50648405" w14:textId="7DA158B0" w:rsidR="00810A46" w:rsidRPr="00810A46" w:rsidRDefault="00810A46" w:rsidP="008C6E7C">
      <w:pPr>
        <w:pStyle w:val="ListParagraph"/>
        <w:numPr>
          <w:ilvl w:val="0"/>
          <w:numId w:val="25"/>
        </w:numPr>
      </w:pPr>
      <w:r>
        <w:rPr>
          <w:b/>
          <w:bCs/>
        </w:rPr>
        <w:t>BIOS/UEFI Firmware</w:t>
      </w:r>
      <w:r>
        <w:t xml:space="preserve"> must be from a trusted vendor, at a verified version, with cryptographic signature verification enabled. Secure Boot must be configured to reject unsigned or untrusted boot components. The chain-of-custody firmware hashes established during incoming hardware inspection must be re-verified periodically to detect unauthorized modifications.</w:t>
      </w:r>
    </w:p>
    <w:p w14:paraId="38CB55BA" w14:textId="77777777" w:rsidR="00480A8C" w:rsidRPr="00480A8C" w:rsidRDefault="00810A46" w:rsidP="008C6E7C">
      <w:pPr>
        <w:pStyle w:val="ListParagraph"/>
        <w:numPr>
          <w:ilvl w:val="0"/>
          <w:numId w:val="25"/>
        </w:numPr>
      </w:pPr>
      <w:r>
        <w:rPr>
          <w:b/>
          <w:bCs/>
        </w:rPr>
        <w:t>BMC (Baseboard Management Controller) Firmware</w:t>
      </w:r>
      <w:r>
        <w:t xml:space="preserve"> </w:t>
      </w:r>
      <w:r w:rsidR="00480A8C">
        <w:rPr>
          <w:color w:val="333333"/>
        </w:rPr>
        <w:t xml:space="preserve">is the highest-risk firmware component. The BMC runs independently of the main CPU, has access to all system resources, and persists </w:t>
      </w:r>
      <w:r w:rsidR="00480A8C">
        <w:rPr>
          <w:color w:val="333333"/>
        </w:rPr>
        <w:lastRenderedPageBreak/>
        <w:t>through OS reinstalls. Approved versions must be cryptographically verified on deployment. All unnecessary BMC services (IPMI, RAKP, legacy protocols) must be disabled.</w:t>
      </w:r>
    </w:p>
    <w:p w14:paraId="336256F8" w14:textId="77777777" w:rsidR="006D4C4C" w:rsidRDefault="006D4C4C" w:rsidP="006D4C4C">
      <w:pPr>
        <w:pStyle w:val="ListParagraph"/>
        <w:numPr>
          <w:ilvl w:val="0"/>
          <w:numId w:val="25"/>
        </w:numPr>
        <w:spacing w:before="60" w:after="60" w:line="240" w:lineRule="auto"/>
        <w:contextualSpacing w:val="0"/>
      </w:pPr>
      <w:r>
        <w:rPr>
          <w:b/>
          <w:bCs/>
          <w:color w:val="0D1F3C"/>
        </w:rPr>
        <w:t xml:space="preserve">GPU Firmware and Drivers: </w:t>
      </w:r>
      <w:r>
        <w:rPr>
          <w:color w:val="333333"/>
        </w:rPr>
        <w:t>NVIDIA's driver stack communicates with NVIDIA's licensing and telemetry infrastructure by default. For sovereign deployments, audit what telemetry NVIDIA drivers transmit, configure offline licensing, and maintain an approved driver version list with verified hashes.</w:t>
      </w:r>
    </w:p>
    <w:p w14:paraId="5EAF3B0A" w14:textId="77777777" w:rsidR="006D4C4C" w:rsidRDefault="006D4C4C" w:rsidP="006D4C4C">
      <w:pPr>
        <w:pStyle w:val="ListParagraph"/>
        <w:numPr>
          <w:ilvl w:val="0"/>
          <w:numId w:val="25"/>
        </w:numPr>
        <w:spacing w:before="60" w:after="60" w:line="240" w:lineRule="auto"/>
        <w:contextualSpacing w:val="0"/>
      </w:pPr>
      <w:r>
        <w:rPr>
          <w:b/>
          <w:bCs/>
          <w:color w:val="0D1F3C"/>
        </w:rPr>
        <w:t xml:space="preserve">TPM Configuration </w:t>
      </w:r>
      <w:r>
        <w:rPr>
          <w:color w:val="333333"/>
        </w:rPr>
        <w:t>must be formally established and documented. The TPM is the hardware root of trust for your software attestation chain. TPM provisioning, key hierarchy establishment, and PCR baseline measurements must be documented and reproducible.</w:t>
      </w:r>
    </w:p>
    <w:p w14:paraId="6E6381DF" w14:textId="2753BB9C" w:rsidR="00810A46" w:rsidRPr="00810A46" w:rsidRDefault="00810A46" w:rsidP="005B4DFC">
      <w:pPr>
        <w:pStyle w:val="Heading2"/>
      </w:pPr>
      <w:bookmarkStart w:id="58" w:name="_Toc224031154"/>
      <w:r>
        <w:t>Operating System</w:t>
      </w:r>
      <w:bookmarkEnd w:id="58"/>
    </w:p>
    <w:p w14:paraId="7A7A3B9F" w14:textId="77777777" w:rsidR="00810A46" w:rsidRPr="00810A46" w:rsidRDefault="00810A46" w:rsidP="00810A46">
      <w:r>
        <w:t>The operating system is the foundation of your software sovereignty posture and requires the most rigorous controls.</w:t>
      </w:r>
    </w:p>
    <w:p w14:paraId="3E4E4D74" w14:textId="690C2A59" w:rsidR="00810A46" w:rsidRPr="00810A46" w:rsidRDefault="00810A46" w:rsidP="008C6E7C">
      <w:pPr>
        <w:pStyle w:val="ListParagraph"/>
        <w:numPr>
          <w:ilvl w:val="0"/>
          <w:numId w:val="26"/>
        </w:numPr>
      </w:pPr>
      <w:r>
        <w:rPr>
          <w:b/>
          <w:bCs/>
        </w:rPr>
        <w:t xml:space="preserve">OS Selection </w:t>
      </w:r>
      <w:r>
        <w:t xml:space="preserve">must be formally documented. For sovereign AI deployments the primary options are Linux distributions such as </w:t>
      </w:r>
      <w:r>
        <w:rPr>
          <w:b/>
          <w:bCs/>
        </w:rPr>
        <w:t>RHEL (Red Hat Enterprise Linux)</w:t>
      </w:r>
      <w:r>
        <w:t xml:space="preserve">, </w:t>
      </w:r>
      <w:r>
        <w:rPr>
          <w:b/>
          <w:bCs/>
        </w:rPr>
        <w:t>Ubuntu</w:t>
      </w:r>
      <w:r>
        <w:t xml:space="preserve">, </w:t>
      </w:r>
      <w:r>
        <w:rPr>
          <w:b/>
          <w:bCs/>
        </w:rPr>
        <w:t>Debian</w:t>
      </w:r>
      <w:r>
        <w:t>, or purpose-built distributions. The selection criteria should include the vendor's jurisdiction and ownership (IBM owns Red Hat, Canonical is UK-incorporated), the update and patch supply chain, the availability of source code for audit, and the existence of support contracts that include security vulnerability disclosure.</w:t>
      </w:r>
    </w:p>
    <w:p w14:paraId="5CFE3D5F" w14:textId="13C1740D" w:rsidR="00810A46" w:rsidRPr="00810A46" w:rsidRDefault="00810A46" w:rsidP="008C6E7C">
      <w:pPr>
        <w:pStyle w:val="ListParagraph"/>
        <w:numPr>
          <w:ilvl w:val="0"/>
          <w:numId w:val="26"/>
        </w:numPr>
      </w:pPr>
      <w:r>
        <w:rPr>
          <w:b/>
          <w:bCs/>
        </w:rPr>
        <w:t>Minimal Base Image</w:t>
      </w:r>
      <w:r>
        <w:t xml:space="preserve"> thinking is essential. Your OS deployment should contain only the packages, services, and kernel modules required for its specific function. Every unnecessary package is an unaudited attack surface and a potential supply chain risk. Immutable infrastructure patterns where OS images are built, verified, and deployed as read-only artifacts rather than updated in place are strongly preferred.</w:t>
      </w:r>
    </w:p>
    <w:p w14:paraId="20854460" w14:textId="77777777" w:rsidR="00810A46" w:rsidRPr="00810A46" w:rsidRDefault="00810A46" w:rsidP="008C6E7C">
      <w:pPr>
        <w:pStyle w:val="ListParagraph"/>
        <w:numPr>
          <w:ilvl w:val="0"/>
          <w:numId w:val="26"/>
        </w:numPr>
      </w:pPr>
      <w:r>
        <w:rPr>
          <w:b/>
          <w:bCs/>
        </w:rPr>
        <w:t>Package Repository Sovereignty</w:t>
      </w:r>
      <w:r>
        <w:t xml:space="preserve"> is a frequently overlooked requirement that has significant operational implications. Standard Linux distributions pull updates from public repositories operated by the distribution vendor or community mirrors. For sovereign deployments you must operate </w:t>
      </w:r>
      <w:r>
        <w:rPr>
          <w:b/>
          <w:bCs/>
        </w:rPr>
        <w:t>internal, air-gapped package mirrors</w:t>
      </w:r>
      <w:r>
        <w:t xml:space="preserve"> that contain only approved, verified packages. Every package in your internal mirror must be sourced from the upstream vendor, cryptographically verified against the vendor's signing keys, scanned for vulnerabilities and malicious content, and approved through a formal change management process before being made available to your systems. This means you control exactly what software can be installed on your sovereign infrastructure — nothing is pulled from the internet at runtime.</w:t>
      </w:r>
    </w:p>
    <w:p w14:paraId="339CC8B4" w14:textId="0CDEA37F" w:rsidR="00810A46" w:rsidRPr="00810A46" w:rsidRDefault="00810A46" w:rsidP="008C6E7C">
      <w:pPr>
        <w:pStyle w:val="ListParagraph"/>
        <w:numPr>
          <w:ilvl w:val="0"/>
          <w:numId w:val="26"/>
        </w:numPr>
      </w:pPr>
      <w:r>
        <w:rPr>
          <w:b/>
          <w:bCs/>
        </w:rPr>
        <w:t>Kernel Hardening</w:t>
      </w:r>
      <w:r>
        <w:t xml:space="preserve"> must be applied systematically. This includes enabling SELinux or AppArmor mandatory access controls, applying kernel hardening flags (disabling kernel module loading, restricting ptrace, enabling KASLR), configuring audited for comprehensive system call logging, and disabling unnecessary kernel modules. The kernel configuration itself should be documented and version controlled.</w:t>
      </w:r>
    </w:p>
    <w:p w14:paraId="20CC7337" w14:textId="14477A88" w:rsidR="00810A46" w:rsidRPr="00810A46" w:rsidRDefault="00810A46" w:rsidP="008C6E7C">
      <w:pPr>
        <w:pStyle w:val="ListParagraph"/>
        <w:numPr>
          <w:ilvl w:val="0"/>
          <w:numId w:val="26"/>
        </w:numPr>
      </w:pPr>
      <w:r>
        <w:rPr>
          <w:b/>
          <w:bCs/>
        </w:rPr>
        <w:t>OS Integrity Monitoring</w:t>
      </w:r>
      <w:r>
        <w:t xml:space="preserve"> using tools like </w:t>
      </w:r>
      <w:r>
        <w:rPr>
          <w:b/>
          <w:bCs/>
        </w:rPr>
        <w:t>AIDE (Advanced Intrusion Detection Environment)</w:t>
      </w:r>
      <w:r>
        <w:t xml:space="preserve"> or </w:t>
      </w:r>
      <w:r>
        <w:rPr>
          <w:b/>
          <w:bCs/>
        </w:rPr>
        <w:t>Tripwire</w:t>
      </w:r>
      <w:r>
        <w:t xml:space="preserve"> establishes cryptographic baselines of all system files and detects unauthorized </w:t>
      </w:r>
      <w:r>
        <w:lastRenderedPageBreak/>
        <w:t>modifications. For sovereign deployments, this monitoring must run continuously with alerts going to your security operations capability.</w:t>
      </w:r>
    </w:p>
    <w:p w14:paraId="5E6CC5F1" w14:textId="607DC6FD" w:rsidR="00810A46" w:rsidRPr="00810A46" w:rsidRDefault="00810A46" w:rsidP="008C6E7C">
      <w:pPr>
        <w:pStyle w:val="ListParagraph"/>
        <w:numPr>
          <w:ilvl w:val="0"/>
          <w:numId w:val="26"/>
        </w:numPr>
      </w:pPr>
      <w:r>
        <w:rPr>
          <w:b/>
          <w:bCs/>
        </w:rPr>
        <w:t>Remote Access Controls</w:t>
      </w:r>
      <w:r>
        <w:t xml:space="preserve">. SSH access must use key-based authentication only, with keys managed through a formal PKI. Password authentication must be disabled. All privileged access should go through a </w:t>
      </w:r>
      <w:r>
        <w:rPr>
          <w:b/>
          <w:bCs/>
        </w:rPr>
        <w:t>Privileged Access Workstation (PAW)</w:t>
      </w:r>
      <w:r>
        <w:t xml:space="preserve"> architecture and a </w:t>
      </w:r>
      <w:r>
        <w:rPr>
          <w:b/>
          <w:bCs/>
        </w:rPr>
        <w:t>Privileged Access Management (PAM)</w:t>
      </w:r>
      <w:r>
        <w:t xml:space="preserve"> solution that records all sessions, with session recordings stored in an immutable audit log.</w:t>
      </w:r>
    </w:p>
    <w:p w14:paraId="2F2D360F" w14:textId="089FE12A" w:rsidR="00810A46" w:rsidRPr="00810A46" w:rsidRDefault="00810A46" w:rsidP="005B4DFC">
      <w:pPr>
        <w:pStyle w:val="Heading2"/>
      </w:pPr>
      <w:bookmarkStart w:id="59" w:name="_Toc224031155"/>
      <w:r>
        <w:t>Containerization and Orchestration</w:t>
      </w:r>
      <w:bookmarkEnd w:id="59"/>
    </w:p>
    <w:p w14:paraId="747FA261" w14:textId="217876BE" w:rsidR="00810A46" w:rsidRPr="00810A46" w:rsidRDefault="00810A46" w:rsidP="00810A46">
      <w:r>
        <w:t>Modern AI workloads run in containers orchestrated by platforms like Kubernetes. This layer introduces significant sovereignty requirements that are often managed carelessly.</w:t>
      </w:r>
    </w:p>
    <w:p w14:paraId="5F8567A3" w14:textId="4D19EF15" w:rsidR="00810A46" w:rsidRPr="00810A46" w:rsidRDefault="00810A46" w:rsidP="008C6E7C">
      <w:pPr>
        <w:pStyle w:val="ListParagraph"/>
        <w:numPr>
          <w:ilvl w:val="0"/>
          <w:numId w:val="27"/>
        </w:numPr>
      </w:pPr>
      <w:r>
        <w:rPr>
          <w:b/>
          <w:bCs/>
        </w:rPr>
        <w:t>Container Image Sovereignty</w:t>
      </w:r>
      <w:r>
        <w:t xml:space="preserve"> is the equivalent of OS package repository sovereignty at the container layer. Your container images must be built from approved base images, stored in an </w:t>
      </w:r>
      <w:r>
        <w:rPr>
          <w:b/>
          <w:bCs/>
        </w:rPr>
        <w:t>internal container registry</w:t>
      </w:r>
      <w:r>
        <w:t xml:space="preserve"> (not Docker Hub or a public registry), and cryptographically signed so that only verified images can be deployed. Every base image must be traced to its source, rebuilt from source where possible for the highest assurance, and scanned for vulnerabilities and malicious content before being admitted to your registry. The dependency chain inside container images (all the libraries and packages baked in at build time) must be captured in a </w:t>
      </w:r>
      <w:r>
        <w:rPr>
          <w:b/>
          <w:bCs/>
        </w:rPr>
        <w:t>Software Bill of Materials (SBOM)</w:t>
      </w:r>
      <w:r>
        <w:t xml:space="preserve"> and verified.</w:t>
      </w:r>
    </w:p>
    <w:p w14:paraId="1BE5B08F" w14:textId="7F6966A4" w:rsidR="00810A46" w:rsidRPr="00810A46" w:rsidRDefault="00810A46" w:rsidP="008C6E7C">
      <w:pPr>
        <w:pStyle w:val="ListParagraph"/>
        <w:numPr>
          <w:ilvl w:val="0"/>
          <w:numId w:val="27"/>
        </w:numPr>
      </w:pPr>
      <w:r>
        <w:rPr>
          <w:b/>
          <w:bCs/>
        </w:rPr>
        <w:t>Kubernetes Cluster Sovereignty</w:t>
      </w:r>
      <w:r>
        <w:t xml:space="preserve"> requires that your Kubernetes control plane (API server, etcd, scheduler, and controller manager) runs on infrastructure you control, not on a managed Kubernetes service operated by a foreign cloud provider. The etcd database containing your cluster state must be encrypted at rest with keys you control. Kubernetes API access must be governed by strict RBAC policies, with all API calls logged to your immutable audit infrastructure.</w:t>
      </w:r>
    </w:p>
    <w:p w14:paraId="52936A0D" w14:textId="2BB582E8" w:rsidR="00810A46" w:rsidRPr="00810A46" w:rsidRDefault="00810A46" w:rsidP="008C6E7C">
      <w:pPr>
        <w:pStyle w:val="ListParagraph"/>
        <w:numPr>
          <w:ilvl w:val="0"/>
          <w:numId w:val="27"/>
        </w:numPr>
      </w:pPr>
      <w:r>
        <w:rPr>
          <w:b/>
          <w:bCs/>
        </w:rPr>
        <w:t>Network Policies</w:t>
      </w:r>
      <w:r>
        <w:t xml:space="preserve"> within Kubernetes must explicitly define which pods can communicate with which other pods and with external services. Default-deny network policies with explicit allowlists are required. Any container attempting to make outbound connections to the internet (including to model repositories, telemetry endpoints, or update services) must be blocked and alerted.</w:t>
      </w:r>
    </w:p>
    <w:p w14:paraId="7C5861D1" w14:textId="77777777" w:rsidR="00810A46" w:rsidRPr="00810A46" w:rsidRDefault="00810A46" w:rsidP="008C6E7C">
      <w:pPr>
        <w:pStyle w:val="ListParagraph"/>
        <w:numPr>
          <w:ilvl w:val="0"/>
          <w:numId w:val="27"/>
        </w:numPr>
      </w:pPr>
      <w:r>
        <w:rPr>
          <w:b/>
          <w:bCs/>
        </w:rPr>
        <w:t>Service Mesh</w:t>
      </w:r>
      <w:r>
        <w:t xml:space="preserve"> deployment using </w:t>
      </w:r>
      <w:r>
        <w:rPr>
          <w:b/>
          <w:bCs/>
        </w:rPr>
        <w:t>Istio</w:t>
      </w:r>
      <w:r>
        <w:t xml:space="preserve"> or </w:t>
      </w:r>
      <w:r>
        <w:rPr>
          <w:b/>
          <w:bCs/>
        </w:rPr>
        <w:t>Linkerd</w:t>
      </w:r>
      <w:r>
        <w:t xml:space="preserve"> provides mutual TLS between all services within your cluster, ensuring that all inter-service communication is encrypted and authenticated even within your internal network. This also provides detailed traffic observability critical for audit purposes.</w:t>
      </w:r>
    </w:p>
    <w:p w14:paraId="4B4AD9E9" w14:textId="36EB91C6" w:rsidR="00810A46" w:rsidRPr="00810A46" w:rsidRDefault="00810A46" w:rsidP="005B4DFC">
      <w:pPr>
        <w:pStyle w:val="Heading2"/>
      </w:pPr>
      <w:bookmarkStart w:id="60" w:name="_Toc224031156"/>
      <w:r>
        <w:t>AI Framework and Runtime</w:t>
      </w:r>
      <w:bookmarkEnd w:id="60"/>
    </w:p>
    <w:p w14:paraId="5BC701FB" w14:textId="13119A20" w:rsidR="00810A46" w:rsidRPr="00810A46" w:rsidRDefault="00810A46" w:rsidP="008C6E7C">
      <w:pPr>
        <w:pStyle w:val="ListParagraph"/>
        <w:numPr>
          <w:ilvl w:val="0"/>
          <w:numId w:val="28"/>
        </w:numPr>
      </w:pPr>
      <w:r>
        <w:rPr>
          <w:b/>
          <w:bCs/>
        </w:rPr>
        <w:t>Framework Selection and Vetting</w:t>
      </w:r>
      <w:r>
        <w:t xml:space="preserve">. The primary frameworks are </w:t>
      </w:r>
      <w:r>
        <w:rPr>
          <w:b/>
          <w:bCs/>
        </w:rPr>
        <w:t>PyTorch</w:t>
      </w:r>
      <w:r>
        <w:t xml:space="preserve"> (Meta-originated, now Linux Foundation governed), </w:t>
      </w:r>
      <w:r>
        <w:rPr>
          <w:b/>
          <w:bCs/>
        </w:rPr>
        <w:t>TensorFlow</w:t>
      </w:r>
      <w:r>
        <w:t xml:space="preserve"> (Google-originated), and </w:t>
      </w:r>
      <w:r>
        <w:rPr>
          <w:b/>
          <w:bCs/>
        </w:rPr>
        <w:t>JAX</w:t>
      </w:r>
      <w:r>
        <w:t xml:space="preserve"> (Google). For sovereign AI, PyTorch under the Linux Foundation governance model is generally preferred as it has the broadest community governance and is not solely controlled by a single corporate entity. </w:t>
      </w:r>
      <w:r>
        <w:lastRenderedPageBreak/>
        <w:t>However, all frameworks must be treated as untrusted software that requires vetting before deployment.</w:t>
      </w:r>
    </w:p>
    <w:p w14:paraId="7CA3EB79" w14:textId="4A29379E" w:rsidR="00810A46" w:rsidRPr="00810A46" w:rsidRDefault="00810A46" w:rsidP="008C6E7C">
      <w:pPr>
        <w:pStyle w:val="ListParagraph"/>
        <w:numPr>
          <w:ilvl w:val="0"/>
          <w:numId w:val="28"/>
        </w:numPr>
      </w:pPr>
      <w:r>
        <w:rPr>
          <w:b/>
          <w:bCs/>
        </w:rPr>
        <w:t>Framework Supply Chain</w:t>
      </w:r>
      <w:r>
        <w:t>. PyTorch and TensorFlow have deep dependency trees pulling from pip, conda, and other package ecosystems. For sovereign deployments, all framework dependencies must be resolved at build time, entered into your internal repositories, and verified. You cannot allow your AI training jobs to pip install packages from PyPI at runtime since this would mean your sovereign AI cluster is pulling arbitrary code from the internet during sensitive training runs. This requirement is operationally significant and requires mature software engineering discipline to implement correctly.</w:t>
      </w:r>
    </w:p>
    <w:p w14:paraId="378D7360" w14:textId="2B97BC0E" w:rsidR="00810A46" w:rsidRPr="00810A46" w:rsidRDefault="00810A46" w:rsidP="008C6E7C">
      <w:pPr>
        <w:pStyle w:val="ListParagraph"/>
        <w:numPr>
          <w:ilvl w:val="0"/>
          <w:numId w:val="28"/>
        </w:numPr>
      </w:pPr>
      <w:r>
        <w:rPr>
          <w:b/>
          <w:bCs/>
        </w:rPr>
        <w:t>CUDA and GPU Runtime Sovereignty</w:t>
      </w:r>
      <w:r>
        <w:t>. NVIDIA's CUDA toolkit, cuDNN, NCCL (for multi-GPU communication), and associated libraries must be sourced directly from NVIDIA, verified, and hosted in your internal repository. CUDA's licensing terms and activation mechanisms must be reviewed. Some NVIDIA software components attempt to communicate with NVIDIA's licensing servers, which must be blocked and accommodated through offline licensing mechanisms for sovereign deployments.</w:t>
      </w:r>
    </w:p>
    <w:p w14:paraId="488FEB70" w14:textId="3D8C25B2" w:rsidR="00810A46" w:rsidRPr="00810A46" w:rsidRDefault="00810A46" w:rsidP="008C6E7C">
      <w:pPr>
        <w:pStyle w:val="ListParagraph"/>
        <w:numPr>
          <w:ilvl w:val="0"/>
          <w:numId w:val="28"/>
        </w:numPr>
      </w:pPr>
      <w:r>
        <w:rPr>
          <w:b/>
          <w:bCs/>
        </w:rPr>
        <w:t>Model Registry Sovereignty</w:t>
      </w:r>
      <w:r>
        <w:t>. Your trained model weights, checkpoints, and associated metadata must be stored in an internal model registry, not uploaded to Hugging Face, NVIDIA NGC, or any external model hub. Model weights represent the core intellectual and strategic asset of your sovereign AI program and must be treated accordingly — encrypted at rest with your keys, access-controlled, versioned, and backed up within your sovereign boundary.</w:t>
      </w:r>
    </w:p>
    <w:p w14:paraId="5447FF0E" w14:textId="107AEA83" w:rsidR="00810A46" w:rsidRPr="00810A46" w:rsidRDefault="00810A46" w:rsidP="008C6E7C">
      <w:pPr>
        <w:pStyle w:val="ListParagraph"/>
        <w:numPr>
          <w:ilvl w:val="0"/>
          <w:numId w:val="28"/>
        </w:numPr>
      </w:pPr>
      <w:r>
        <w:rPr>
          <w:b/>
          <w:bCs/>
        </w:rPr>
        <w:t>Inference Runtime</w:t>
      </w:r>
      <w:r>
        <w:t xml:space="preserve">. For serving models in production, runtimes like </w:t>
      </w:r>
      <w:r>
        <w:rPr>
          <w:b/>
          <w:bCs/>
        </w:rPr>
        <w:t>NVIDIA Triton Inference Server</w:t>
      </w:r>
      <w:r>
        <w:t xml:space="preserve">, </w:t>
      </w:r>
      <w:r>
        <w:rPr>
          <w:b/>
          <w:bCs/>
        </w:rPr>
        <w:t>TensorRT-LLM</w:t>
      </w:r>
      <w:r>
        <w:t xml:space="preserve">, </w:t>
      </w:r>
      <w:r>
        <w:rPr>
          <w:b/>
          <w:bCs/>
        </w:rPr>
        <w:t>vLLM</w:t>
      </w:r>
      <w:r>
        <w:t xml:space="preserve">, or </w:t>
      </w:r>
      <w:r>
        <w:rPr>
          <w:b/>
          <w:bCs/>
        </w:rPr>
        <w:t>llama.cpp</w:t>
      </w:r>
      <w:r>
        <w:t xml:space="preserve"> must be evaluated for external dependencies and telemetry. Each must be configured to operate without external connectivity and verified to not transmit data outside your environment.</w:t>
      </w:r>
    </w:p>
    <w:p w14:paraId="3B23C47B" w14:textId="74A0D8A7" w:rsidR="00810A46" w:rsidRPr="00810A46" w:rsidRDefault="00810A46" w:rsidP="005B4DFC">
      <w:pPr>
        <w:pStyle w:val="Heading2"/>
      </w:pPr>
      <w:bookmarkStart w:id="61" w:name="_Toc224031157"/>
      <w:r>
        <w:t>Foundation Models and Training Data</w:t>
      </w:r>
      <w:bookmarkEnd w:id="61"/>
    </w:p>
    <w:p w14:paraId="6635648B" w14:textId="77777777" w:rsidR="00810A46" w:rsidRPr="00810A46" w:rsidRDefault="00810A46" w:rsidP="00810A46">
      <w:r>
        <w:t>This layer is unique to AI and has no direct equivalent in traditional IT sovereignty frameworks.</w:t>
      </w:r>
    </w:p>
    <w:p w14:paraId="295F1BBD" w14:textId="3CF655E7" w:rsidR="00810A46" w:rsidRPr="00810A46" w:rsidRDefault="00810A46" w:rsidP="008C6E7C">
      <w:pPr>
        <w:pStyle w:val="ListParagraph"/>
        <w:numPr>
          <w:ilvl w:val="0"/>
          <w:numId w:val="29"/>
        </w:numPr>
      </w:pPr>
      <w:r>
        <w:rPr>
          <w:b/>
          <w:bCs/>
        </w:rPr>
        <w:t>Foundation Model Provenance</w:t>
      </w:r>
      <w:r>
        <w:t xml:space="preserve">. If you are starting from a pre-trained foundation model rather than training from scratch, that model's provenance must be documented and assessed. Where did the model weights come from? Under what license? What data was it trained on? Does the model contain backdoors or alignment manipulations introduced by the original trainer? </w:t>
      </w:r>
    </w:p>
    <w:p w14:paraId="40B7E313" w14:textId="754AD293" w:rsidR="00810A46" w:rsidRPr="00810A46" w:rsidRDefault="00BE22FF" w:rsidP="008C6E7C">
      <w:pPr>
        <w:pStyle w:val="ListParagraph"/>
        <w:numPr>
          <w:ilvl w:val="0"/>
          <w:numId w:val="29"/>
        </w:numPr>
      </w:pPr>
      <w:r>
        <w:rPr>
          <w:b/>
          <w:bCs/>
        </w:rPr>
        <w:t>Open-Source Model Vetting</w:t>
      </w:r>
      <w:r>
        <w:t xml:space="preserve">. Models from </w:t>
      </w:r>
      <w:r>
        <w:rPr>
          <w:b/>
          <w:bCs/>
        </w:rPr>
        <w:t>Meta's LLaMA family</w:t>
      </w:r>
      <w:r>
        <w:t xml:space="preserve">, </w:t>
      </w:r>
      <w:r>
        <w:rPr>
          <w:b/>
          <w:bCs/>
        </w:rPr>
        <w:t>Mistral</w:t>
      </w:r>
      <w:r>
        <w:t xml:space="preserve">, </w:t>
      </w:r>
      <w:r>
        <w:rPr>
          <w:b/>
          <w:bCs/>
        </w:rPr>
        <w:t>Falcon</w:t>
      </w:r>
      <w:r>
        <w:t xml:space="preserve">, </w:t>
      </w:r>
      <w:r>
        <w:rPr>
          <w:b/>
          <w:bCs/>
        </w:rPr>
        <w:t>Qwen</w:t>
      </w:r>
      <w:r>
        <w:t>, and others are commonly used as sovereign AI starting points. For each, you must assess the releasing organization's jurisdiction and geopolitical alignment, the license terms (some open models have restrictions on government or military use), the training data composition and whether it creates legal or sovereignty risks, and whether the model architecture contains any undisclosed components or behaviors. Model weights should be downloaded once, cryptographically hashed, and stored in your internal model registry — never pulled fresh from Hugging Face at training or inference time.</w:t>
      </w:r>
    </w:p>
    <w:p w14:paraId="698F1954" w14:textId="206B2352" w:rsidR="00810A46" w:rsidRPr="00810A46" w:rsidRDefault="00810A46" w:rsidP="008C6E7C">
      <w:pPr>
        <w:pStyle w:val="ListParagraph"/>
        <w:numPr>
          <w:ilvl w:val="0"/>
          <w:numId w:val="29"/>
        </w:numPr>
      </w:pPr>
      <w:r>
        <w:rPr>
          <w:b/>
          <w:bCs/>
        </w:rPr>
        <w:lastRenderedPageBreak/>
        <w:t>Training Data Sovereignty</w:t>
      </w:r>
      <w:r>
        <w:t xml:space="preserve"> is foundational. All data used to train or fine-tune your sovereign AI must be under your legal control, stored within your sovereign boundary, and processed only on infrastructure within your jurisdiction. Data pipelines must not send training data to external APIs for preprocessing, annotation, or augmentation. If you use synthetic data generation, the generation process itself must run within your sovereign environment. Data lineage (knowing exactly what data trained your model) must be documented for legal, regulatory, and audit purposes.</w:t>
      </w:r>
    </w:p>
    <w:p w14:paraId="31CBAC05" w14:textId="31922AB5" w:rsidR="00810A46" w:rsidRPr="00810A46" w:rsidRDefault="00810A46" w:rsidP="008C6E7C">
      <w:pPr>
        <w:pStyle w:val="ListParagraph"/>
        <w:numPr>
          <w:ilvl w:val="0"/>
          <w:numId w:val="29"/>
        </w:numPr>
      </w:pPr>
      <w:r>
        <w:rPr>
          <w:b/>
          <w:bCs/>
        </w:rPr>
        <w:t>RLHF and Fine-Tuning Data</w:t>
      </w:r>
      <w:r>
        <w:t>. Human feedback data used for alignment and fine-tuning is often particularly sensitive as it reflects policy decisions about model behavior. The collection, storage, and use of this data must be entirely within your sovereign environment, with access controls reflecting its sensitivity.</w:t>
      </w:r>
    </w:p>
    <w:p w14:paraId="6D9302FF" w14:textId="178F5F3E" w:rsidR="00810A46" w:rsidRPr="00810A46" w:rsidRDefault="00810A46" w:rsidP="008C6E7C">
      <w:pPr>
        <w:pStyle w:val="ListParagraph"/>
        <w:numPr>
          <w:ilvl w:val="0"/>
          <w:numId w:val="29"/>
        </w:numPr>
      </w:pPr>
      <w:r>
        <w:rPr>
          <w:b/>
          <w:bCs/>
        </w:rPr>
        <w:t>Model Cards and Documentation</w:t>
      </w:r>
      <w:r>
        <w:t>. Every model deployed in your sovereign AI environment should have a formal model card documenting its provenance, training data, known limitations, evaluation results, and intended use cases. This is both a governance best practice and an audit requirement.</w:t>
      </w:r>
    </w:p>
    <w:p w14:paraId="23289715" w14:textId="17227ACF" w:rsidR="00810A46" w:rsidRPr="00810A46" w:rsidRDefault="00810A46" w:rsidP="005B4DFC">
      <w:pPr>
        <w:pStyle w:val="Heading2"/>
      </w:pPr>
      <w:bookmarkStart w:id="62" w:name="_Toc224031158"/>
      <w:r>
        <w:t>MLOps and Pipeline Infrastructure</w:t>
      </w:r>
      <w:bookmarkEnd w:id="62"/>
    </w:p>
    <w:p w14:paraId="6738C543" w14:textId="77777777" w:rsidR="00810A46" w:rsidRPr="00810A46" w:rsidRDefault="00810A46" w:rsidP="00810A46">
      <w:r>
        <w:t>The operational infrastructure that supports AI development and deployment must meet the same sovereignty requirements as the workloads it supports.</w:t>
      </w:r>
    </w:p>
    <w:p w14:paraId="07F483DE" w14:textId="2974DA44" w:rsidR="00810A46" w:rsidRPr="00810A46" w:rsidRDefault="00810A46" w:rsidP="008C6E7C">
      <w:pPr>
        <w:pStyle w:val="ListParagraph"/>
        <w:numPr>
          <w:ilvl w:val="0"/>
          <w:numId w:val="30"/>
        </w:numPr>
      </w:pPr>
      <w:r>
        <w:rPr>
          <w:b/>
          <w:bCs/>
        </w:rPr>
        <w:t>MLOps Platform Sovereignty</w:t>
      </w:r>
      <w:r>
        <w:t xml:space="preserve">. Platforms like </w:t>
      </w:r>
      <w:r>
        <w:rPr>
          <w:b/>
          <w:bCs/>
        </w:rPr>
        <w:t>MLflow</w:t>
      </w:r>
      <w:r>
        <w:t xml:space="preserve">, </w:t>
      </w:r>
      <w:r>
        <w:rPr>
          <w:b/>
          <w:bCs/>
        </w:rPr>
        <w:t>Kubeflow</w:t>
      </w:r>
      <w:r>
        <w:t xml:space="preserve">, </w:t>
      </w:r>
      <w:r>
        <w:rPr>
          <w:b/>
          <w:bCs/>
        </w:rPr>
        <w:t>Apache Airflow</w:t>
      </w:r>
      <w:r>
        <w:t xml:space="preserve">, and </w:t>
      </w:r>
      <w:r>
        <w:rPr>
          <w:b/>
          <w:bCs/>
        </w:rPr>
        <w:t>DVC</w:t>
      </w:r>
      <w:r>
        <w:t xml:space="preserve"> must be self-hosted within your sovereign environment. Using SaaS MLOps platforms operated by foreign companies — Weights &amp; Biases, Neptune, Comet — is generally incompatible with sovereign AI requirements as they receive telemetry, experiment data, and potentially model artifacts from your training runs.</w:t>
      </w:r>
    </w:p>
    <w:p w14:paraId="4A739E09" w14:textId="41F9AFB2" w:rsidR="00810A46" w:rsidRPr="00810A46" w:rsidRDefault="00810A46" w:rsidP="008C6E7C">
      <w:pPr>
        <w:pStyle w:val="ListParagraph"/>
        <w:numPr>
          <w:ilvl w:val="0"/>
          <w:numId w:val="30"/>
        </w:numPr>
      </w:pPr>
      <w:r>
        <w:rPr>
          <w:b/>
          <w:bCs/>
        </w:rPr>
        <w:t>Experiment Tracking</w:t>
      </w:r>
      <w:r>
        <w:t>. All training runs, hyperparameter configurations, evaluation metrics, and model artifacts must be logged to your internal experiment tracking system. This data is strategically sensitive and reveals what you are training, how well it works, and what approaches you are exploring.</w:t>
      </w:r>
    </w:p>
    <w:p w14:paraId="5082968F" w14:textId="66C6072B" w:rsidR="00810A46" w:rsidRPr="00810A46" w:rsidRDefault="00810A46" w:rsidP="008C6E7C">
      <w:pPr>
        <w:pStyle w:val="ListParagraph"/>
        <w:numPr>
          <w:ilvl w:val="0"/>
          <w:numId w:val="30"/>
        </w:numPr>
      </w:pPr>
      <w:r>
        <w:rPr>
          <w:b/>
          <w:bCs/>
        </w:rPr>
        <w:t>CI/CD Pipeline Sovereignty</w:t>
      </w:r>
      <w:r>
        <w:t xml:space="preserve">. Your continuous integration and deployment pipelines for AI must run on infrastructure you control. Using GitHub Actions, GitLab CI running on shared infrastructure, or CircleCI means your build processes run on foreign-operated servers. For sovereign AI, self-hosted </w:t>
      </w:r>
      <w:r>
        <w:rPr>
          <w:b/>
          <w:bCs/>
        </w:rPr>
        <w:t>GitLab</w:t>
      </w:r>
      <w:r>
        <w:t xml:space="preserve">, </w:t>
      </w:r>
      <w:r>
        <w:rPr>
          <w:b/>
          <w:bCs/>
        </w:rPr>
        <w:t>Gitea</w:t>
      </w:r>
      <w:r>
        <w:t xml:space="preserve">, or </w:t>
      </w:r>
      <w:r>
        <w:rPr>
          <w:b/>
          <w:bCs/>
        </w:rPr>
        <w:t>Jenkins</w:t>
      </w:r>
      <w:r>
        <w:t xml:space="preserve"> on your own infrastructure is required.</w:t>
      </w:r>
    </w:p>
    <w:p w14:paraId="3CD6DD3E" w14:textId="239838A0" w:rsidR="00810A46" w:rsidRPr="00810A46" w:rsidRDefault="00810A46" w:rsidP="008C6E7C">
      <w:pPr>
        <w:pStyle w:val="ListParagraph"/>
        <w:numPr>
          <w:ilvl w:val="0"/>
          <w:numId w:val="30"/>
        </w:numPr>
      </w:pPr>
      <w:r>
        <w:rPr>
          <w:b/>
          <w:bCs/>
        </w:rPr>
        <w:t>Artifact Management</w:t>
      </w:r>
      <w:r>
        <w:t xml:space="preserve">. All build artifacts, container images, model weights, datasets, and configuration files must flow through internal artifact management systems. </w:t>
      </w:r>
      <w:r>
        <w:rPr>
          <w:b/>
          <w:bCs/>
        </w:rPr>
        <w:t>JFrog Artifactory</w:t>
      </w:r>
      <w:r>
        <w:t xml:space="preserve">, </w:t>
      </w:r>
      <w:r>
        <w:rPr>
          <w:b/>
          <w:bCs/>
        </w:rPr>
        <w:t>Nexus Repository</w:t>
      </w:r>
      <w:r>
        <w:t>, or equivalent self-hosted solutions serve this function. Nothing should be published to or pulled from external artifact repositories during sovereign operations.</w:t>
      </w:r>
    </w:p>
    <w:p w14:paraId="19F25F94" w14:textId="7473E0A2" w:rsidR="00810A46" w:rsidRPr="00810A46" w:rsidRDefault="00810A46" w:rsidP="008C6E7C">
      <w:pPr>
        <w:pStyle w:val="ListParagraph"/>
        <w:numPr>
          <w:ilvl w:val="0"/>
          <w:numId w:val="30"/>
        </w:numPr>
      </w:pPr>
      <w:r>
        <w:rPr>
          <w:b/>
          <w:bCs/>
        </w:rPr>
        <w:t>Secrets Management</w:t>
      </w:r>
      <w:r>
        <w:t xml:space="preserve">. API keys, credentials, certificates, and other secrets must be managed through a sovereign secrets management system. </w:t>
      </w:r>
      <w:r>
        <w:rPr>
          <w:b/>
          <w:bCs/>
        </w:rPr>
        <w:t>HashiCorp Vault</w:t>
      </w:r>
      <w:r>
        <w:t xml:space="preserve"> (self-hosted), </w:t>
      </w:r>
      <w:r>
        <w:rPr>
          <w:b/>
          <w:bCs/>
        </w:rPr>
        <w:t>CyberArk</w:t>
      </w:r>
      <w:r>
        <w:t>, or equivalent solutions provide this capability. Secrets must never be stored in code repositories, environment variables in container definitions, or external secrets management services.</w:t>
      </w:r>
    </w:p>
    <w:p w14:paraId="56B0F803" w14:textId="0C7B5298" w:rsidR="00810A46" w:rsidRPr="00810A46" w:rsidRDefault="00810A46" w:rsidP="005B4DFC">
      <w:pPr>
        <w:pStyle w:val="Heading2"/>
      </w:pPr>
      <w:bookmarkStart w:id="63" w:name="_Toc224031159"/>
      <w:r>
        <w:lastRenderedPageBreak/>
        <w:t>Observability, Logging, and Audit</w:t>
      </w:r>
      <w:bookmarkEnd w:id="63"/>
    </w:p>
    <w:p w14:paraId="5E27611C" w14:textId="4B4E9A14" w:rsidR="00810A46" w:rsidRPr="00810A46" w:rsidRDefault="00810A46" w:rsidP="00810A46">
      <w:r>
        <w:t>A sovereign AI deployment that cannot demonstrate what happened, when, and who authorized it is not truly sovereign since it cannot defend itself against audit or investigation.</w:t>
      </w:r>
    </w:p>
    <w:p w14:paraId="27C54DBC" w14:textId="5C1B7828" w:rsidR="00810A46" w:rsidRPr="00810A46" w:rsidRDefault="00810A46" w:rsidP="008C6E7C">
      <w:pPr>
        <w:pStyle w:val="ListParagraph"/>
        <w:numPr>
          <w:ilvl w:val="0"/>
          <w:numId w:val="31"/>
        </w:numPr>
      </w:pPr>
      <w:r>
        <w:rPr>
          <w:b/>
          <w:bCs/>
        </w:rPr>
        <w:t>Immutable Audit Logging</w:t>
      </w:r>
      <w:r>
        <w:t xml:space="preserve"> is a non-negotiable requirement. All significant events such as user authentication, privileged access, API calls, model training runs, inference requests, configuration changes, and data access must be logged to an immutable logging system that cannot be modified or deleted by any individual user, including administrators. Write-once storage or cryptographically chained logs (similar to a blockchain structure) satisfy this requirement.</w:t>
      </w:r>
    </w:p>
    <w:p w14:paraId="5743E19D" w14:textId="32A53A2C" w:rsidR="00810A46" w:rsidRPr="00810A46" w:rsidRDefault="00810A46" w:rsidP="008C6E7C">
      <w:pPr>
        <w:pStyle w:val="ListParagraph"/>
        <w:numPr>
          <w:ilvl w:val="0"/>
          <w:numId w:val="31"/>
        </w:numPr>
      </w:pPr>
      <w:r>
        <w:rPr>
          <w:b/>
          <w:bCs/>
        </w:rPr>
        <w:t>Log Sovereignty</w:t>
      </w:r>
      <w:r>
        <w:t xml:space="preserve">. Your logs must be stored within your sovereign boundary, encrypted with your keys, and not forwarded to any external SIEM or log management service operated by a foreign entity. </w:t>
      </w:r>
      <w:r>
        <w:rPr>
          <w:b/>
          <w:bCs/>
        </w:rPr>
        <w:t>Elasticsearch/OpenSearch</w:t>
      </w:r>
      <w:r>
        <w:t xml:space="preserve">, </w:t>
      </w:r>
      <w:r>
        <w:rPr>
          <w:b/>
          <w:bCs/>
        </w:rPr>
        <w:t>Splunk</w:t>
      </w:r>
      <w:r>
        <w:t xml:space="preserve"> (self-hosted), or </w:t>
      </w:r>
      <w:r>
        <w:rPr>
          <w:b/>
          <w:bCs/>
        </w:rPr>
        <w:t>Graylog</w:t>
      </w:r>
      <w:r>
        <w:t xml:space="preserve"> are common self-hosted options.</w:t>
      </w:r>
    </w:p>
    <w:p w14:paraId="62332657" w14:textId="74ECE483" w:rsidR="00810A46" w:rsidRPr="00810A46" w:rsidRDefault="00810A46" w:rsidP="008C6E7C">
      <w:pPr>
        <w:pStyle w:val="ListParagraph"/>
        <w:numPr>
          <w:ilvl w:val="0"/>
          <w:numId w:val="31"/>
        </w:numPr>
      </w:pPr>
      <w:r>
        <w:rPr>
          <w:b/>
          <w:bCs/>
        </w:rPr>
        <w:t>AI-Specific Observability</w:t>
      </w:r>
      <w:r>
        <w:t>. Beyond standard infrastructure observability, sovereign AI requires monitoring of model behavior over time. This includes tracking inference request patterns (to detect data exfiltration attempts through query patterns), monitoring model output distributions (to detect model drift or adversarial manipulation), logging all prompts and responses for high-sensitivity deployments (with appropriate privacy controls), and auditing which model version served which request.</w:t>
      </w:r>
    </w:p>
    <w:p w14:paraId="5F52BD6E" w14:textId="25C2730A" w:rsidR="00810A46" w:rsidRPr="00810A46" w:rsidRDefault="00810A46" w:rsidP="008C6E7C">
      <w:pPr>
        <w:pStyle w:val="ListParagraph"/>
        <w:numPr>
          <w:ilvl w:val="0"/>
          <w:numId w:val="31"/>
        </w:numPr>
      </w:pPr>
      <w:r>
        <w:rPr>
          <w:b/>
          <w:bCs/>
        </w:rPr>
        <w:t>Cryptographic Log Integrity</w:t>
      </w:r>
      <w:r>
        <w:t>. Log files themselves must be cryptographically protected against tampering. This can be achieved through log signing, hash chaining, or write-once storage with access controls that prevent even administrators from modifying historical logs.</w:t>
      </w:r>
    </w:p>
    <w:p w14:paraId="043A1F66" w14:textId="3B2BC20E" w:rsidR="00810A46" w:rsidRPr="00810A46" w:rsidRDefault="00810A46" w:rsidP="008C6E7C">
      <w:pPr>
        <w:pStyle w:val="ListParagraph"/>
        <w:numPr>
          <w:ilvl w:val="0"/>
          <w:numId w:val="31"/>
        </w:numPr>
      </w:pPr>
      <w:r>
        <w:rPr>
          <w:b/>
          <w:bCs/>
        </w:rPr>
        <w:t>Retention and Disposal</w:t>
      </w:r>
      <w:r>
        <w:t>. Log retention periods must be defined based on your regulatory requirements and sovereignty policy, and logs must be securely disposed of at end of retention period in a manner that prevents recovery.</w:t>
      </w:r>
    </w:p>
    <w:p w14:paraId="7613E344" w14:textId="553B7FF6" w:rsidR="00810A46" w:rsidRPr="00810A46" w:rsidRDefault="00810A46" w:rsidP="005B4DFC">
      <w:pPr>
        <w:pStyle w:val="Heading2"/>
      </w:pPr>
      <w:bookmarkStart w:id="64" w:name="_Toc224031160"/>
      <w:r>
        <w:t>Identity, Access Management, and Zero Trust</w:t>
      </w:r>
      <w:bookmarkEnd w:id="64"/>
    </w:p>
    <w:p w14:paraId="7402A5CE" w14:textId="77777777" w:rsidR="00810A46" w:rsidRPr="00810A46" w:rsidRDefault="00810A46" w:rsidP="00810A46">
      <w:r>
        <w:t>Who can access what, under what conditions, and with what authorization, is the governance backbone of your sovereign AI software stack.</w:t>
      </w:r>
    </w:p>
    <w:p w14:paraId="249FC4A7" w14:textId="249717CE" w:rsidR="00810A46" w:rsidRPr="00810A46" w:rsidRDefault="00810A46" w:rsidP="008C6E7C">
      <w:pPr>
        <w:pStyle w:val="ListParagraph"/>
        <w:numPr>
          <w:ilvl w:val="0"/>
          <w:numId w:val="32"/>
        </w:numPr>
      </w:pPr>
      <w:r>
        <w:rPr>
          <w:b/>
          <w:bCs/>
        </w:rPr>
        <w:t>Sovereign Identity Provider</w:t>
      </w:r>
      <w:r>
        <w:t xml:space="preserve">. Your identity management infrastructure must be operated within your sovereign boundary. This means a self-hosted </w:t>
      </w:r>
      <w:r>
        <w:rPr>
          <w:b/>
          <w:bCs/>
        </w:rPr>
        <w:t>Active Directory / LDAP</w:t>
      </w:r>
      <w:r>
        <w:t xml:space="preserve">, </w:t>
      </w:r>
      <w:r>
        <w:rPr>
          <w:b/>
          <w:bCs/>
        </w:rPr>
        <w:t>FreeIPA</w:t>
      </w:r>
      <w:r>
        <w:t xml:space="preserve">, or </w:t>
      </w:r>
      <w:r>
        <w:rPr>
          <w:b/>
          <w:bCs/>
        </w:rPr>
        <w:t>Keycloak</w:t>
      </w:r>
      <w:r>
        <w:t xml:space="preserve"> instance and not a cloud-operated identity service like Azure AD, Okta, or Google Workspace, which are operated by foreign entities and subject to foreign legal processes. All authentication flows through your sovereign identity provider.</w:t>
      </w:r>
    </w:p>
    <w:p w14:paraId="2047F50A" w14:textId="77777777" w:rsidR="00810A46" w:rsidRPr="00810A46" w:rsidRDefault="00810A46" w:rsidP="008C6E7C">
      <w:pPr>
        <w:pStyle w:val="ListParagraph"/>
        <w:numPr>
          <w:ilvl w:val="0"/>
          <w:numId w:val="32"/>
        </w:numPr>
      </w:pPr>
      <w:r>
        <w:rPr>
          <w:b/>
          <w:bCs/>
        </w:rPr>
        <w:t>Multi-Factor Authentication</w:t>
      </w:r>
      <w:r>
        <w:t xml:space="preserve"> must be enforced for all human access to sovereign AI systems, with MFA factors managed within your sovereign environment. Hardware tokens (FIDO2/WebAuthn) are preferred over SMS-based MFA, which has known vulnerabilities.</w:t>
      </w:r>
    </w:p>
    <w:p w14:paraId="03904738" w14:textId="2B75377B" w:rsidR="00810A46" w:rsidRPr="00810A46" w:rsidRDefault="00810A46" w:rsidP="008C6E7C">
      <w:pPr>
        <w:pStyle w:val="ListParagraph"/>
        <w:numPr>
          <w:ilvl w:val="0"/>
          <w:numId w:val="32"/>
        </w:numPr>
      </w:pPr>
      <w:r>
        <w:rPr>
          <w:b/>
          <w:bCs/>
        </w:rPr>
        <w:t>Zero Trust Architecture</w:t>
      </w:r>
      <w:r>
        <w:t xml:space="preserve">. The traditional perimeter security model (trust everything inside the network) is inadequate for sovereign AI. Zero Trust principles require that every access request, </w:t>
      </w:r>
      <w:r>
        <w:lastRenderedPageBreak/>
        <w:t xml:space="preserve">regardless of network location, is authenticated, authorized against explicit policy, and logged. No implicit trust based on network location. This is implemented through identity-aware proxies, service mesh mutual TLS, and policy engines like </w:t>
      </w:r>
      <w:r>
        <w:rPr>
          <w:b/>
          <w:bCs/>
        </w:rPr>
        <w:t>Open Policy Agent (OPA)</w:t>
      </w:r>
      <w:r>
        <w:t>.</w:t>
      </w:r>
    </w:p>
    <w:p w14:paraId="5108E6DD" w14:textId="64F4F89B" w:rsidR="00810A46" w:rsidRPr="00810A46" w:rsidRDefault="00810A46" w:rsidP="008C6E7C">
      <w:pPr>
        <w:pStyle w:val="ListParagraph"/>
        <w:numPr>
          <w:ilvl w:val="0"/>
          <w:numId w:val="32"/>
        </w:numPr>
      </w:pPr>
      <w:r>
        <w:rPr>
          <w:b/>
          <w:bCs/>
        </w:rPr>
        <w:t>Privileged Access Management</w:t>
      </w:r>
      <w:r>
        <w:t>. All privileged access (root, administrator, database admin, model registry admin) must go through a PAM solution that enforces just-in-time access (access is granted only when needed and for a defined duration), dual authorization for the most sensitive operations, and full session recording with tamper-evident storage.</w:t>
      </w:r>
    </w:p>
    <w:p w14:paraId="5D8D9CFA" w14:textId="49B9B80E" w:rsidR="00810A46" w:rsidRPr="00810A46" w:rsidRDefault="00810A46" w:rsidP="008C6E7C">
      <w:pPr>
        <w:pStyle w:val="ListParagraph"/>
        <w:numPr>
          <w:ilvl w:val="0"/>
          <w:numId w:val="32"/>
        </w:numPr>
      </w:pPr>
      <w:r>
        <w:rPr>
          <w:b/>
          <w:bCs/>
        </w:rPr>
        <w:t>Service-to-Service Authentication</w:t>
      </w:r>
      <w:r>
        <w:t>. Machine identities for services and workloads must be managed through a formal PKI or workload identity system. Services should authenticate to each other using short-lived certificates, not long-lived shared secrets.</w:t>
      </w:r>
    </w:p>
    <w:p w14:paraId="59BCA4A6" w14:textId="587244CD" w:rsidR="00810A46" w:rsidRPr="00810A46" w:rsidRDefault="00810A46" w:rsidP="005B4DFC">
      <w:pPr>
        <w:pStyle w:val="Heading2"/>
      </w:pPr>
      <w:bookmarkStart w:id="65" w:name="_Toc224031161"/>
      <w:r>
        <w:t>Data Governance and Encryption</w:t>
      </w:r>
      <w:bookmarkEnd w:id="65"/>
    </w:p>
    <w:p w14:paraId="35056812" w14:textId="77777777" w:rsidR="00810A46" w:rsidRPr="00810A46" w:rsidRDefault="00810A46" w:rsidP="00810A46">
      <w:r>
        <w:t>Data is the sovereign asset that the entire software stack is designed to protect.</w:t>
      </w:r>
    </w:p>
    <w:p w14:paraId="2B76465E" w14:textId="1CBFA18D" w:rsidR="00810A46" w:rsidRPr="00810A46" w:rsidRDefault="00810A46" w:rsidP="008C6E7C">
      <w:pPr>
        <w:pStyle w:val="ListParagraph"/>
        <w:numPr>
          <w:ilvl w:val="0"/>
          <w:numId w:val="33"/>
        </w:numPr>
      </w:pPr>
      <w:r>
        <w:rPr>
          <w:b/>
          <w:bCs/>
        </w:rPr>
        <w:t>Encryption at Rest</w:t>
      </w:r>
      <w:r>
        <w:t xml:space="preserve"> must be applied to all sovereign data. This includes training datasets, model weights, checkpoints, logs, secrets, and configuration data. Encryption must use approved cryptographic algorithms (AES-256, RSA-4096, or elliptic curve equivalents) with keys managed in HSMs that you control. Encryption must be verified and not just configured as part of your deployment validation.</w:t>
      </w:r>
    </w:p>
    <w:p w14:paraId="73765717" w14:textId="77777777" w:rsidR="00810A46" w:rsidRPr="00810A46" w:rsidRDefault="00810A46" w:rsidP="008C6E7C">
      <w:pPr>
        <w:pStyle w:val="ListParagraph"/>
        <w:numPr>
          <w:ilvl w:val="0"/>
          <w:numId w:val="33"/>
        </w:numPr>
      </w:pPr>
      <w:r>
        <w:rPr>
          <w:b/>
          <w:bCs/>
        </w:rPr>
        <w:t>Encryption in Transit</w:t>
      </w:r>
      <w:r>
        <w:t xml:space="preserve"> must be enforced for all data movement within your sovereign environment and between components. TLS 1.3 is the minimum standard. Certificate management must be handled by your internal PKI, not a public certificate authority for internal services.</w:t>
      </w:r>
    </w:p>
    <w:p w14:paraId="1DF8107B" w14:textId="7D86BE6D" w:rsidR="00810A46" w:rsidRPr="00810A46" w:rsidRDefault="00810A46" w:rsidP="008C6E7C">
      <w:pPr>
        <w:pStyle w:val="ListParagraph"/>
        <w:numPr>
          <w:ilvl w:val="0"/>
          <w:numId w:val="33"/>
        </w:numPr>
      </w:pPr>
      <w:r>
        <w:rPr>
          <w:b/>
          <w:bCs/>
        </w:rPr>
        <w:t>Data Classification and Handling</w:t>
      </w:r>
      <w:r>
        <w:t>. A formal data classification scheme must be established and enforced in your sovereign AI environment. Different classifications of data (public, official, sensitive, classified) must have defined handling rules that are technically enforced, not just policy documents. Training data used to build AI models must be classified and handled accordingly.</w:t>
      </w:r>
    </w:p>
    <w:p w14:paraId="509D13BA" w14:textId="39305A41" w:rsidR="00810A46" w:rsidRPr="00810A46" w:rsidRDefault="00810A46" w:rsidP="008C6E7C">
      <w:pPr>
        <w:pStyle w:val="ListParagraph"/>
        <w:numPr>
          <w:ilvl w:val="0"/>
          <w:numId w:val="33"/>
        </w:numPr>
      </w:pPr>
      <w:r>
        <w:rPr>
          <w:b/>
          <w:bCs/>
        </w:rPr>
        <w:t>Data Loss Prevention (DLP)</w:t>
      </w:r>
      <w:r>
        <w:t xml:space="preserve"> controls must prevent sovereign data from exfiltrating through any channel. This could be network uploads, removable media, print, or API calls that transmit data externally. For AI-specific DLP, this includes preventing model weights from being exfiltrated through inference APIs (model extraction attacks) and preventing sensitive training data from being recoverable through targeted inference queries (membership inference attacks).</w:t>
      </w:r>
    </w:p>
    <w:p w14:paraId="350AA6A1" w14:textId="1E4EB6E5" w:rsidR="00810A46" w:rsidRPr="00810A46" w:rsidRDefault="00810A46" w:rsidP="008C6E7C">
      <w:pPr>
        <w:pStyle w:val="ListParagraph"/>
        <w:numPr>
          <w:ilvl w:val="0"/>
          <w:numId w:val="33"/>
        </w:numPr>
      </w:pPr>
      <w:r>
        <w:rPr>
          <w:b/>
          <w:bCs/>
        </w:rPr>
        <w:t>Cryptographic Agility</w:t>
      </w:r>
      <w:r>
        <w:t xml:space="preserve">. Your encryption architecture must be designed to allow algorithm replacement without complete system rebuilds, in anticipation of the transition to </w:t>
      </w:r>
      <w:r>
        <w:rPr>
          <w:b/>
          <w:bCs/>
        </w:rPr>
        <w:t>post-quantum cryptography (PQC)</w:t>
      </w:r>
      <w:r>
        <w:t xml:space="preserve">. NIST finalized its first PQC standards in 2024 — </w:t>
      </w:r>
      <w:r>
        <w:rPr>
          <w:b/>
          <w:bCs/>
        </w:rPr>
        <w:t>CRYSTALS-Kyber</w:t>
      </w:r>
      <w:r>
        <w:t xml:space="preserve"> for key encapsulation and </w:t>
      </w:r>
      <w:r>
        <w:rPr>
          <w:b/>
          <w:bCs/>
        </w:rPr>
        <w:t>CRYSTALS-Dilithium</w:t>
      </w:r>
      <w:r>
        <w:t xml:space="preserve"> for digital signatures — and sovereign AI programs should be planning their migration timeline now.</w:t>
      </w:r>
    </w:p>
    <w:p w14:paraId="4FC5593D" w14:textId="3572AEC3" w:rsidR="00810A46" w:rsidRPr="00810A46" w:rsidRDefault="00810A46" w:rsidP="005B4DFC">
      <w:pPr>
        <w:pStyle w:val="Heading2"/>
      </w:pPr>
      <w:bookmarkStart w:id="66" w:name="_Toc224031162"/>
      <w:r>
        <w:lastRenderedPageBreak/>
        <w:t>AI-Specific Security Requirements</w:t>
      </w:r>
      <w:bookmarkEnd w:id="66"/>
    </w:p>
    <w:p w14:paraId="60FD667B" w14:textId="77777777" w:rsidR="00810A46" w:rsidRPr="00810A46" w:rsidRDefault="00810A46" w:rsidP="00810A46">
      <w:r>
        <w:t>Beyond standard cybersecurity controls, AI systems have unique attack surfaces that sovereign AI programs must address.</w:t>
      </w:r>
    </w:p>
    <w:p w14:paraId="7451570B" w14:textId="39B5390A" w:rsidR="00810A46" w:rsidRPr="00810A46" w:rsidRDefault="00810A46" w:rsidP="008C6E7C">
      <w:pPr>
        <w:pStyle w:val="ListParagraph"/>
        <w:numPr>
          <w:ilvl w:val="0"/>
          <w:numId w:val="34"/>
        </w:numPr>
      </w:pPr>
      <w:r>
        <w:rPr>
          <w:b/>
          <w:bCs/>
        </w:rPr>
        <w:t>Adversarial Robustness</w:t>
      </w:r>
      <w:r>
        <w:t>. Sovereign AI models must be evaluated and hardened against adversarial inputs designed to cause misclassification or unexpected behavior. This is particularly critical for AI systems used in decision-making contexts.</w:t>
      </w:r>
    </w:p>
    <w:p w14:paraId="6F854372" w14:textId="09C78D49" w:rsidR="00810A46" w:rsidRPr="00810A46" w:rsidRDefault="00810A46" w:rsidP="008C6E7C">
      <w:pPr>
        <w:pStyle w:val="ListParagraph"/>
        <w:numPr>
          <w:ilvl w:val="0"/>
          <w:numId w:val="34"/>
        </w:numPr>
      </w:pPr>
      <w:r>
        <w:rPr>
          <w:b/>
          <w:bCs/>
        </w:rPr>
        <w:t>Prompt Injection Defense</w:t>
      </w:r>
      <w:r>
        <w:t>. For large language model deployments, prompt injection attacks (where malicious input manipulates the model's behavior) must be defended against through input validation, output filtering, and architectural controls that separate trusted system instructions from untrusted user inputs.</w:t>
      </w:r>
    </w:p>
    <w:p w14:paraId="66794F64" w14:textId="0AE04F50" w:rsidR="00810A46" w:rsidRPr="00810A46" w:rsidRDefault="00810A46" w:rsidP="008C6E7C">
      <w:pPr>
        <w:pStyle w:val="ListParagraph"/>
        <w:numPr>
          <w:ilvl w:val="0"/>
          <w:numId w:val="34"/>
        </w:numPr>
      </w:pPr>
      <w:r>
        <w:rPr>
          <w:b/>
          <w:bCs/>
        </w:rPr>
        <w:t>Model Integrity Verification</w:t>
      </w:r>
      <w:r>
        <w:t>. Deployed models must be cryptographically verified to match approved, tested versions before being served in production. A tampered model that has been modified to introduce backdoors or bias must be detectable.</w:t>
      </w:r>
    </w:p>
    <w:p w14:paraId="56E7AD95" w14:textId="64395A2B" w:rsidR="00810A46" w:rsidRPr="00810A46" w:rsidRDefault="00810A46" w:rsidP="008C6E7C">
      <w:pPr>
        <w:pStyle w:val="ListParagraph"/>
        <w:numPr>
          <w:ilvl w:val="0"/>
          <w:numId w:val="34"/>
        </w:numPr>
      </w:pPr>
      <w:r>
        <w:rPr>
          <w:b/>
          <w:bCs/>
        </w:rPr>
        <w:t>Federated Learning Considerations</w:t>
      </w:r>
      <w:r>
        <w:t>. If your sovereign AI program uses federated learning to train on distributed data without centralizing it, the federated learning protocol itself introduces attack surfaces including Byzantine fault attacks and gradient inversion attacks that must be defended against.</w:t>
      </w:r>
    </w:p>
    <w:p w14:paraId="10FB0972" w14:textId="68E344F4" w:rsidR="00810A46" w:rsidRPr="00810A46" w:rsidRDefault="00810A46" w:rsidP="008C6E7C">
      <w:pPr>
        <w:pStyle w:val="ListParagraph"/>
        <w:numPr>
          <w:ilvl w:val="0"/>
          <w:numId w:val="34"/>
        </w:numPr>
      </w:pPr>
      <w:r>
        <w:rPr>
          <w:b/>
          <w:bCs/>
        </w:rPr>
        <w:t>AI Red Teaming</w:t>
      </w:r>
      <w:r>
        <w:t xml:space="preserve"> — sovereign AI deployments should be subject to regular red team exercises specifically targeting AI attack surfaces. This includes model extraction, membership inference, prompt injection, and adversarial examples in addition to traditional penetration testing of the infrastructure.</w:t>
      </w:r>
    </w:p>
    <w:p w14:paraId="412DC3FC" w14:textId="16F79222" w:rsidR="00810A46" w:rsidRPr="00810A46" w:rsidRDefault="00810A46" w:rsidP="005B4DFC">
      <w:pPr>
        <w:pStyle w:val="Heading2"/>
      </w:pPr>
      <w:bookmarkStart w:id="67" w:name="_Toc224031163"/>
      <w:r>
        <w:t xml:space="preserve">The Software </w:t>
      </w:r>
      <w:r w:rsidR="0038473F">
        <w:t>Stack</w:t>
      </w:r>
      <w:r w:rsidR="002662DE">
        <w:t>: Four Tests for Every Layer</w:t>
      </w:r>
      <w:bookmarkEnd w:id="67"/>
    </w:p>
    <w:p w14:paraId="2C216D75" w14:textId="77777777" w:rsidR="00741601" w:rsidRPr="00810A46" w:rsidRDefault="00741601" w:rsidP="00741601">
      <w:r>
        <w:t xml:space="preserve">Pulling all of this together, a sovereign AI program must maintain a comprehensive </w:t>
      </w:r>
      <w:r>
        <w:rPr>
          <w:b/>
          <w:bCs/>
        </w:rPr>
        <w:t>Software Bill of Materials</w:t>
      </w:r>
      <w:r>
        <w:t xml:space="preserve"> covering every component of its stack from OS packages through AI frameworks to model weights and their training data provenance. The SBOM must be continuously maintained as software is updated, formally reviewed as part of change management, and made available to auditors on demand.</w:t>
      </w:r>
    </w:p>
    <w:p w14:paraId="1970DB5A" w14:textId="77777777" w:rsidR="00741601" w:rsidRPr="00810A46" w:rsidRDefault="00741601" w:rsidP="00741601">
      <w:r>
        <w:t>The US government has made SBOMs a formal requirement for software sold to federal agencies through Executive Order 14028 on Improving the Nation's Cybersecurity. Sovereign AI programs should adopt this requirement as a baseline regardless of whether their specific regulatory context mandates it, because an SBOM is the foundation of demonstrable software chain-of-custody.</w:t>
      </w:r>
    </w:p>
    <w:p w14:paraId="38F8547A" w14:textId="67E9526D" w:rsidR="007E4E2B" w:rsidRDefault="007E4E2B" w:rsidP="002D3B00">
      <w:pPr>
        <w:spacing w:before="80" w:after="80"/>
        <w:jc w:val="both"/>
      </w:pPr>
      <w:r>
        <w:rPr>
          <w:color w:val="333333"/>
        </w:rPr>
        <w:t>A sovereign AI software stack must satisfy four tests at every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9"/>
        <w:gridCol w:w="4836"/>
        <w:gridCol w:w="2813"/>
      </w:tblGrid>
      <w:tr w:rsidR="007E4E2B" w14:paraId="781AF70B" w14:textId="77777777" w:rsidTr="00D66E52">
        <w:tc>
          <w:tcPr>
            <w:tcW w:w="170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29CDA1F7" w14:textId="77777777" w:rsidR="007E4E2B" w:rsidRDefault="007E4E2B" w:rsidP="00400087">
            <w:r>
              <w:rPr>
                <w:b/>
                <w:bCs/>
                <w:color w:val="FFFFFF"/>
                <w:sz w:val="20"/>
                <w:szCs w:val="20"/>
              </w:rPr>
              <w:t>Test</w:t>
            </w:r>
          </w:p>
        </w:tc>
        <w:tc>
          <w:tcPr>
            <w:tcW w:w="4836"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50CB4BCF" w14:textId="77777777" w:rsidR="007E4E2B" w:rsidRDefault="007E4E2B" w:rsidP="00400087">
            <w:r>
              <w:rPr>
                <w:b/>
                <w:bCs/>
                <w:color w:val="FFFFFF"/>
                <w:sz w:val="20"/>
                <w:szCs w:val="20"/>
              </w:rPr>
              <w:t>Question</w:t>
            </w:r>
          </w:p>
        </w:tc>
        <w:tc>
          <w:tcPr>
            <w:tcW w:w="0" w:type="auto"/>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22281E31" w14:textId="77777777" w:rsidR="007E4E2B" w:rsidRDefault="007E4E2B" w:rsidP="00400087">
            <w:r>
              <w:rPr>
                <w:b/>
                <w:bCs/>
                <w:color w:val="FFFFFF"/>
                <w:sz w:val="20"/>
                <w:szCs w:val="20"/>
              </w:rPr>
              <w:t>If It Fails</w:t>
            </w:r>
          </w:p>
        </w:tc>
      </w:tr>
      <w:tr w:rsidR="007E4E2B" w14:paraId="666E0BF7" w14:textId="77777777" w:rsidTr="00D66E52">
        <w:tc>
          <w:tcPr>
            <w:tcW w:w="17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D845882" w14:textId="77777777" w:rsidR="007E4E2B" w:rsidRDefault="007E4E2B" w:rsidP="00400087">
            <w:r>
              <w:rPr>
                <w:color w:val="333333"/>
                <w:sz w:val="20"/>
                <w:szCs w:val="20"/>
              </w:rPr>
              <w:t>Provenance</w:t>
            </w:r>
          </w:p>
        </w:tc>
        <w:tc>
          <w:tcPr>
            <w:tcW w:w="4836"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9444247" w14:textId="77777777" w:rsidR="007E4E2B" w:rsidRDefault="007E4E2B" w:rsidP="00400087">
            <w:r>
              <w:rPr>
                <w:color w:val="333333"/>
                <w:sz w:val="20"/>
                <w:szCs w:val="20"/>
              </w:rPr>
              <w:t>Do you know where this software came from and can you verify it?</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AAF6978" w14:textId="77777777" w:rsidR="007E4E2B" w:rsidRDefault="007E4E2B" w:rsidP="00400087">
            <w:r>
              <w:rPr>
                <w:color w:val="333333"/>
                <w:sz w:val="20"/>
                <w:szCs w:val="20"/>
              </w:rPr>
              <w:t>Unverified code is an uncontrolled attack surface</w:t>
            </w:r>
          </w:p>
        </w:tc>
      </w:tr>
      <w:tr w:rsidR="007E4E2B" w14:paraId="7C4548A9" w14:textId="77777777" w:rsidTr="00D66E52">
        <w:tc>
          <w:tcPr>
            <w:tcW w:w="17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6CDE7BC" w14:textId="77777777" w:rsidR="007E4E2B" w:rsidRDefault="007E4E2B" w:rsidP="00400087">
            <w:r>
              <w:rPr>
                <w:color w:val="333333"/>
                <w:sz w:val="20"/>
                <w:szCs w:val="20"/>
              </w:rPr>
              <w:lastRenderedPageBreak/>
              <w:t>Control</w:t>
            </w:r>
          </w:p>
        </w:tc>
        <w:tc>
          <w:tcPr>
            <w:tcW w:w="4836"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43FEB71" w14:textId="77777777" w:rsidR="007E4E2B" w:rsidRDefault="007E4E2B" w:rsidP="00400087">
            <w:r>
              <w:rPr>
                <w:color w:val="333333"/>
                <w:sz w:val="20"/>
                <w:szCs w:val="20"/>
              </w:rPr>
              <w:t>Can you update, patch, or replace it without depending on a foreign entity's cooperation?</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3382737" w14:textId="77777777" w:rsidR="007E4E2B" w:rsidRDefault="007E4E2B" w:rsidP="00400087">
            <w:r>
              <w:rPr>
                <w:color w:val="333333"/>
                <w:sz w:val="20"/>
                <w:szCs w:val="20"/>
              </w:rPr>
              <w:t>Dependency creates compellable leverage</w:t>
            </w:r>
          </w:p>
        </w:tc>
      </w:tr>
      <w:tr w:rsidR="007E4E2B" w14:paraId="6B03F8EC" w14:textId="77777777" w:rsidTr="00D66E52">
        <w:tc>
          <w:tcPr>
            <w:tcW w:w="17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90179E1" w14:textId="77777777" w:rsidR="007E4E2B" w:rsidRDefault="007E4E2B" w:rsidP="00400087">
            <w:r>
              <w:rPr>
                <w:color w:val="333333"/>
                <w:sz w:val="20"/>
                <w:szCs w:val="20"/>
              </w:rPr>
              <w:t>Auditability</w:t>
            </w:r>
          </w:p>
        </w:tc>
        <w:tc>
          <w:tcPr>
            <w:tcW w:w="4836"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8AD513B" w14:textId="77777777" w:rsidR="007E4E2B" w:rsidRDefault="007E4E2B" w:rsidP="00400087">
            <w:r>
              <w:rPr>
                <w:color w:val="333333"/>
                <w:sz w:val="20"/>
                <w:szCs w:val="20"/>
              </w:rPr>
              <w:t>Can you demonstrate to an auditor exactly what this software does and what data it touches?</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C120984" w14:textId="77777777" w:rsidR="007E4E2B" w:rsidRDefault="007E4E2B" w:rsidP="00400087">
            <w:r>
              <w:rPr>
                <w:color w:val="333333"/>
                <w:sz w:val="20"/>
                <w:szCs w:val="20"/>
              </w:rPr>
              <w:t>Cannot provide legal or regulatory defense</w:t>
            </w:r>
          </w:p>
        </w:tc>
      </w:tr>
      <w:tr w:rsidR="007E4E2B" w14:paraId="1B4AFEBA" w14:textId="77777777" w:rsidTr="00D66E52">
        <w:tc>
          <w:tcPr>
            <w:tcW w:w="17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2716C20" w14:textId="77777777" w:rsidR="007E4E2B" w:rsidRDefault="007E4E2B" w:rsidP="00400087">
            <w:r>
              <w:rPr>
                <w:color w:val="333333"/>
                <w:sz w:val="20"/>
                <w:szCs w:val="20"/>
              </w:rPr>
              <w:t>Containment</w:t>
            </w:r>
          </w:p>
        </w:tc>
        <w:tc>
          <w:tcPr>
            <w:tcW w:w="4836"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44DBACE" w14:textId="77777777" w:rsidR="007E4E2B" w:rsidRDefault="007E4E2B" w:rsidP="00400087">
            <w:r>
              <w:rPr>
                <w:color w:val="333333"/>
                <w:sz w:val="20"/>
                <w:szCs w:val="20"/>
              </w:rPr>
              <w:t>Is this software prevented from communicating outside your sovereign boundary without explicit authorization?</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50426A2" w14:textId="77777777" w:rsidR="007E4E2B" w:rsidRDefault="007E4E2B" w:rsidP="00400087">
            <w:r>
              <w:rPr>
                <w:color w:val="333333"/>
                <w:sz w:val="20"/>
                <w:szCs w:val="20"/>
              </w:rPr>
              <w:t>Data exfiltration risk regardless of hardware controls</w:t>
            </w:r>
          </w:p>
        </w:tc>
      </w:tr>
    </w:tbl>
    <w:p w14:paraId="271AF24C" w14:textId="77777777" w:rsidR="007E4E2B" w:rsidRDefault="007E4E2B" w:rsidP="007E4E2B">
      <w:pPr>
        <w:spacing w:before="60"/>
      </w:pPr>
    </w:p>
    <w:p w14:paraId="4FCE2773" w14:textId="77777777" w:rsidR="007E4E2B" w:rsidRDefault="007E4E2B" w:rsidP="007E4E2B">
      <w:r>
        <w:br w:type="page"/>
      </w:r>
    </w:p>
    <w:p w14:paraId="420F0483" w14:textId="77777777" w:rsidR="007E4E2B" w:rsidRDefault="007E4E2B" w:rsidP="00810A46"/>
    <w:p w14:paraId="6DC32AB2" w14:textId="6714ECED" w:rsidR="007B668C" w:rsidRPr="00810A46" w:rsidRDefault="007B668C" w:rsidP="00AB362D">
      <w:pPr>
        <w:pStyle w:val="Heading1"/>
      </w:pPr>
      <w:bookmarkStart w:id="68" w:name="_Toc224031164"/>
      <w:r>
        <w:t>Chain-of-Custody Evidence Package</w:t>
      </w:r>
      <w:bookmarkEnd w:id="68"/>
    </w:p>
    <w:p w14:paraId="504625ED" w14:textId="738A1104" w:rsidR="00F4649A" w:rsidRDefault="007B668C" w:rsidP="007B668C">
      <w:r>
        <w:t xml:space="preserve">Pulling all of this together, a credible chain-of-custody demonstration for a sovereign AI build should produce a documented evidence package covering each stage. This package should include: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75"/>
        <w:gridCol w:w="1730"/>
        <w:gridCol w:w="2551"/>
        <w:gridCol w:w="1702"/>
      </w:tblGrid>
      <w:tr w:rsidR="00245ED1" w14:paraId="1A47EE88" w14:textId="77777777" w:rsidTr="00245ED1">
        <w:tc>
          <w:tcPr>
            <w:tcW w:w="0" w:type="auto"/>
            <w:tcBorders>
              <w:top w:val="single" w:sz="1" w:space="0" w:color="0D1F3C"/>
              <w:left w:val="single" w:sz="1" w:space="0" w:color="0D1F3C"/>
              <w:bottom w:val="single" w:sz="1" w:space="0" w:color="0D1F3C"/>
              <w:right w:val="single" w:sz="1" w:space="0" w:color="0D1F3C"/>
            </w:tcBorders>
            <w:shd w:val="clear" w:color="auto" w:fill="1A4C8E"/>
            <w:tcMar>
              <w:top w:w="80" w:type="dxa"/>
              <w:left w:w="120" w:type="dxa"/>
              <w:bottom w:w="80" w:type="dxa"/>
              <w:right w:w="120" w:type="dxa"/>
            </w:tcMar>
          </w:tcPr>
          <w:p w14:paraId="74FEDCB3" w14:textId="77777777" w:rsidR="00245ED1" w:rsidRDefault="00245ED1" w:rsidP="00400087">
            <w:r>
              <w:rPr>
                <w:b/>
                <w:bCs/>
                <w:color w:val="FFFFFF"/>
                <w:sz w:val="20"/>
                <w:szCs w:val="20"/>
              </w:rPr>
              <w:t>Evidence Item</w:t>
            </w:r>
          </w:p>
        </w:tc>
        <w:tc>
          <w:tcPr>
            <w:tcW w:w="0" w:type="auto"/>
            <w:tcBorders>
              <w:top w:val="single" w:sz="1" w:space="0" w:color="0D1F3C"/>
              <w:left w:val="single" w:sz="1" w:space="0" w:color="0D1F3C"/>
              <w:bottom w:val="single" w:sz="1" w:space="0" w:color="0D1F3C"/>
              <w:right w:val="single" w:sz="1" w:space="0" w:color="0D1F3C"/>
            </w:tcBorders>
            <w:shd w:val="clear" w:color="auto" w:fill="1A4C8E"/>
            <w:tcMar>
              <w:top w:w="80" w:type="dxa"/>
              <w:left w:w="120" w:type="dxa"/>
              <w:bottom w:w="80" w:type="dxa"/>
              <w:right w:w="120" w:type="dxa"/>
            </w:tcMar>
          </w:tcPr>
          <w:p w14:paraId="7065AF58" w14:textId="77777777" w:rsidR="00245ED1" w:rsidRDefault="00245ED1" w:rsidP="00400087">
            <w:r>
              <w:rPr>
                <w:b/>
                <w:bCs/>
                <w:color w:val="FFFFFF"/>
                <w:sz w:val="20"/>
                <w:szCs w:val="20"/>
              </w:rPr>
              <w:t>Responsible Party</w:t>
            </w:r>
          </w:p>
        </w:tc>
        <w:tc>
          <w:tcPr>
            <w:tcW w:w="0" w:type="auto"/>
            <w:tcBorders>
              <w:top w:val="single" w:sz="1" w:space="0" w:color="0D1F3C"/>
              <w:left w:val="single" w:sz="1" w:space="0" w:color="0D1F3C"/>
              <w:bottom w:val="single" w:sz="1" w:space="0" w:color="0D1F3C"/>
              <w:right w:val="single" w:sz="1" w:space="0" w:color="0D1F3C"/>
            </w:tcBorders>
            <w:shd w:val="clear" w:color="auto" w:fill="1A4C8E"/>
            <w:tcMar>
              <w:top w:w="80" w:type="dxa"/>
              <w:left w:w="120" w:type="dxa"/>
              <w:bottom w:w="80" w:type="dxa"/>
              <w:right w:w="120" w:type="dxa"/>
            </w:tcMar>
          </w:tcPr>
          <w:p w14:paraId="0804A79A" w14:textId="77777777" w:rsidR="00245ED1" w:rsidRDefault="00245ED1" w:rsidP="00400087">
            <w:r>
              <w:rPr>
                <w:b/>
                <w:bCs/>
                <w:color w:val="FFFFFF"/>
                <w:sz w:val="20"/>
                <w:szCs w:val="20"/>
              </w:rPr>
              <w:t>Artifact Type</w:t>
            </w:r>
          </w:p>
        </w:tc>
        <w:tc>
          <w:tcPr>
            <w:tcW w:w="0" w:type="auto"/>
            <w:tcBorders>
              <w:top w:val="single" w:sz="1" w:space="0" w:color="0D1F3C"/>
              <w:left w:val="single" w:sz="1" w:space="0" w:color="0D1F3C"/>
              <w:bottom w:val="single" w:sz="1" w:space="0" w:color="0D1F3C"/>
              <w:right w:val="single" w:sz="1" w:space="0" w:color="0D1F3C"/>
            </w:tcBorders>
            <w:shd w:val="clear" w:color="auto" w:fill="1A4C8E"/>
            <w:tcMar>
              <w:top w:w="80" w:type="dxa"/>
              <w:left w:w="120" w:type="dxa"/>
              <w:bottom w:w="80" w:type="dxa"/>
              <w:right w:w="120" w:type="dxa"/>
            </w:tcMar>
          </w:tcPr>
          <w:p w14:paraId="359E7053" w14:textId="77777777" w:rsidR="00245ED1" w:rsidRDefault="00245ED1" w:rsidP="00400087">
            <w:r>
              <w:rPr>
                <w:b/>
                <w:bCs/>
                <w:color w:val="FFFFFF"/>
                <w:sz w:val="20"/>
                <w:szCs w:val="20"/>
              </w:rPr>
              <w:t>Review Frequency</w:t>
            </w:r>
          </w:p>
        </w:tc>
      </w:tr>
      <w:tr w:rsidR="00245ED1" w14:paraId="311AF078"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4968ABB" w14:textId="77777777" w:rsidR="00245ED1" w:rsidRDefault="00245ED1" w:rsidP="00400087">
            <w:r>
              <w:rPr>
                <w:color w:val="333333"/>
                <w:sz w:val="20"/>
                <w:szCs w:val="20"/>
              </w:rPr>
              <w:t>Vendor qualification records and AVL documentation</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E551209" w14:textId="77777777" w:rsidR="00245ED1" w:rsidRDefault="00245ED1" w:rsidP="00400087">
            <w:r>
              <w:rPr>
                <w:color w:val="333333"/>
                <w:sz w:val="20"/>
                <w:szCs w:val="20"/>
              </w:rPr>
              <w:t>Procurement / Security</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0A19E8B" w14:textId="77777777" w:rsidR="00245ED1" w:rsidRDefault="00245ED1" w:rsidP="00400087">
            <w:r>
              <w:rPr>
                <w:color w:val="333333"/>
                <w:sz w:val="20"/>
                <w:szCs w:val="20"/>
              </w:rPr>
              <w:t>Formal register</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34BE19C" w14:textId="77777777" w:rsidR="00245ED1" w:rsidRDefault="00245ED1" w:rsidP="00400087">
            <w:r>
              <w:rPr>
                <w:color w:val="333333"/>
                <w:sz w:val="20"/>
                <w:szCs w:val="20"/>
              </w:rPr>
              <w:t>Annual + trigger-based</w:t>
            </w:r>
          </w:p>
        </w:tc>
      </w:tr>
      <w:tr w:rsidR="00245ED1" w14:paraId="77DB25F7"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187FA6A" w14:textId="77777777" w:rsidR="00245ED1" w:rsidRDefault="00245ED1" w:rsidP="00400087">
            <w:r>
              <w:rPr>
                <w:color w:val="333333"/>
                <w:sz w:val="20"/>
                <w:szCs w:val="20"/>
              </w:rPr>
              <w:t>Certificates of origin and BOM verifications for all hardware</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89EB803" w14:textId="77777777" w:rsidR="00245ED1" w:rsidRDefault="00245ED1" w:rsidP="00400087">
            <w:r>
              <w:rPr>
                <w:color w:val="333333"/>
                <w:sz w:val="20"/>
                <w:szCs w:val="20"/>
              </w:rPr>
              <w:t>Procurement</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C05F62C" w14:textId="77777777" w:rsidR="00245ED1" w:rsidRDefault="00245ED1" w:rsidP="00400087">
            <w:r>
              <w:rPr>
                <w:color w:val="333333"/>
                <w:sz w:val="20"/>
                <w:szCs w:val="20"/>
              </w:rPr>
              <w:t>Vendor-provided; contractually required</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BC1E0D6" w14:textId="77777777" w:rsidR="00245ED1" w:rsidRDefault="00245ED1" w:rsidP="00400087">
            <w:r>
              <w:rPr>
                <w:color w:val="333333"/>
                <w:sz w:val="20"/>
                <w:szCs w:val="20"/>
              </w:rPr>
              <w:t>Per acquisition</w:t>
            </w:r>
          </w:p>
        </w:tc>
      </w:tr>
      <w:tr w:rsidR="00245ED1" w14:paraId="1AA126EA"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D4C65B9" w14:textId="77777777" w:rsidR="00245ED1" w:rsidRDefault="00245ED1" w:rsidP="00400087">
            <w:r>
              <w:rPr>
                <w:color w:val="333333"/>
                <w:sz w:val="20"/>
                <w:szCs w:val="20"/>
              </w:rPr>
              <w:t>Factory audit reports where conducted</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6E740BF" w14:textId="77777777" w:rsidR="00245ED1" w:rsidRDefault="00245ED1" w:rsidP="00400087">
            <w:r>
              <w:rPr>
                <w:color w:val="333333"/>
                <w:sz w:val="20"/>
                <w:szCs w:val="20"/>
              </w:rPr>
              <w:t>Security / QA</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0ABD7B9" w14:textId="77777777" w:rsidR="00245ED1" w:rsidRDefault="00245ED1" w:rsidP="00400087">
            <w:r>
              <w:rPr>
                <w:color w:val="333333"/>
                <w:sz w:val="20"/>
                <w:szCs w:val="20"/>
              </w:rPr>
              <w:t>Third-party audit report</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B7FA31B" w14:textId="77777777" w:rsidR="00245ED1" w:rsidRDefault="00245ED1" w:rsidP="00400087">
            <w:r>
              <w:rPr>
                <w:color w:val="333333"/>
                <w:sz w:val="20"/>
                <w:szCs w:val="20"/>
              </w:rPr>
              <w:t>Per acquisition</w:t>
            </w:r>
          </w:p>
        </w:tc>
      </w:tr>
      <w:tr w:rsidR="00245ED1" w14:paraId="331B30DE"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35EAC43" w14:textId="77777777" w:rsidR="00245ED1" w:rsidRDefault="00245ED1" w:rsidP="00400087">
            <w:r>
              <w:rPr>
                <w:color w:val="333333"/>
                <w:sz w:val="20"/>
                <w:szCs w:val="20"/>
              </w:rPr>
              <w:t>Pre-shipment serialization records and firmware hashes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203443B" w14:textId="77777777" w:rsidR="00245ED1" w:rsidRDefault="00245ED1" w:rsidP="00400087">
            <w:r>
              <w:rPr>
                <w:color w:val="333333"/>
                <w:sz w:val="20"/>
                <w:szCs w:val="20"/>
              </w:rPr>
              <w:t>Vendor / Receiving team</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25D669F" w14:textId="77777777" w:rsidR="00245ED1" w:rsidRDefault="00245ED1" w:rsidP="00400087">
            <w:r>
              <w:rPr>
                <w:color w:val="333333"/>
                <w:sz w:val="20"/>
                <w:szCs w:val="20"/>
              </w:rPr>
              <w:t>Cryptographically signed manifest</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436BDC6" w14:textId="77777777" w:rsidR="00245ED1" w:rsidRDefault="00245ED1" w:rsidP="00400087">
            <w:r>
              <w:rPr>
                <w:color w:val="333333"/>
                <w:sz w:val="20"/>
                <w:szCs w:val="20"/>
              </w:rPr>
              <w:t>Per shipment</w:t>
            </w:r>
          </w:p>
        </w:tc>
      </w:tr>
      <w:tr w:rsidR="00245ED1" w14:paraId="5DF43EC3"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52E899E" w14:textId="77777777" w:rsidR="00245ED1" w:rsidRDefault="00245ED1" w:rsidP="00400087">
            <w:r>
              <w:rPr>
                <w:color w:val="333333"/>
                <w:sz w:val="20"/>
                <w:szCs w:val="20"/>
              </w:rPr>
              <w:t>Transit chain-of-custody manifests with all handoff signatures</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5624B7D" w14:textId="77777777" w:rsidR="00245ED1" w:rsidRDefault="00245ED1" w:rsidP="00400087">
            <w:r>
              <w:rPr>
                <w:color w:val="333333"/>
                <w:sz w:val="20"/>
                <w:szCs w:val="20"/>
              </w:rPr>
              <w:t>Logistics / Security</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6F6D320" w14:textId="77777777" w:rsidR="00245ED1" w:rsidRDefault="00245ED1" w:rsidP="00400087">
            <w:r>
              <w:rPr>
                <w:color w:val="333333"/>
                <w:sz w:val="20"/>
                <w:szCs w:val="20"/>
              </w:rPr>
              <w:t>Physical and digital chain-of-custody doc</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60E4EDD" w14:textId="77777777" w:rsidR="00245ED1" w:rsidRDefault="00245ED1" w:rsidP="00400087">
            <w:r>
              <w:rPr>
                <w:color w:val="333333"/>
                <w:sz w:val="20"/>
                <w:szCs w:val="20"/>
              </w:rPr>
              <w:t>Per shipment</w:t>
            </w:r>
          </w:p>
        </w:tc>
      </w:tr>
      <w:tr w:rsidR="00245ED1" w14:paraId="01C434D0"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E18ADCE" w14:textId="77777777" w:rsidR="00245ED1" w:rsidRDefault="00245ED1" w:rsidP="00400087">
            <w:r>
              <w:rPr>
                <w:color w:val="333333"/>
                <w:sz w:val="20"/>
                <w:szCs w:val="20"/>
              </w:rPr>
              <w:t>Incoming inspection reports with photographic documentation</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3D0B86A" w14:textId="77777777" w:rsidR="00245ED1" w:rsidRDefault="00245ED1" w:rsidP="00400087">
            <w:r>
              <w:rPr>
                <w:color w:val="333333"/>
                <w:sz w:val="20"/>
                <w:szCs w:val="20"/>
              </w:rPr>
              <w:t>Receiving team</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93F88A8" w14:textId="77777777" w:rsidR="00245ED1" w:rsidRDefault="00245ED1" w:rsidP="00400087">
            <w:r>
              <w:rPr>
                <w:color w:val="333333"/>
                <w:sz w:val="20"/>
                <w:szCs w:val="20"/>
              </w:rPr>
              <w:t>Inspection report + photographs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56A802E" w14:textId="77777777" w:rsidR="00245ED1" w:rsidRDefault="00245ED1" w:rsidP="00400087">
            <w:r>
              <w:rPr>
                <w:color w:val="333333"/>
                <w:sz w:val="20"/>
                <w:szCs w:val="20"/>
              </w:rPr>
              <w:t>Per delivery</w:t>
            </w:r>
          </w:p>
        </w:tc>
      </w:tr>
      <w:tr w:rsidR="00245ED1" w14:paraId="69526C22"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F2AC9B5" w14:textId="77777777" w:rsidR="00245ED1" w:rsidRDefault="00245ED1" w:rsidP="00400087">
            <w:r>
              <w:rPr>
                <w:color w:val="333333"/>
                <w:sz w:val="20"/>
                <w:szCs w:val="20"/>
              </w:rPr>
              <w:t>Hardware attestation certificates from TPM and GPU attestation</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788FCCD" w14:textId="77777777" w:rsidR="00245ED1" w:rsidRDefault="00245ED1" w:rsidP="00400087">
            <w:r>
              <w:rPr>
                <w:color w:val="333333"/>
                <w:sz w:val="20"/>
                <w:szCs w:val="20"/>
              </w:rPr>
              <w:t>Infrastructure team</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D56F900" w14:textId="77777777" w:rsidR="00245ED1" w:rsidRDefault="00245ED1" w:rsidP="00400087">
            <w:r>
              <w:rPr>
                <w:color w:val="333333"/>
                <w:sz w:val="20"/>
                <w:szCs w:val="20"/>
              </w:rPr>
              <w:t>Cryptographic attestation certificates</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C9B3523" w14:textId="77777777" w:rsidR="00245ED1" w:rsidRDefault="00245ED1" w:rsidP="00400087">
            <w:r>
              <w:rPr>
                <w:color w:val="333333"/>
                <w:sz w:val="20"/>
                <w:szCs w:val="20"/>
              </w:rPr>
              <w:t>On deployment + periodic</w:t>
            </w:r>
          </w:p>
        </w:tc>
      </w:tr>
      <w:tr w:rsidR="00245ED1" w14:paraId="6E92CDA1"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A0B4E43" w14:textId="77777777" w:rsidR="00245ED1" w:rsidRDefault="00245ED1" w:rsidP="00400087">
            <w:r>
              <w:rPr>
                <w:color w:val="333333"/>
                <w:sz w:val="20"/>
                <w:szCs w:val="20"/>
              </w:rPr>
              <w:t>Data center access logs and physical security certifications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EC6281F" w14:textId="77777777" w:rsidR="00245ED1" w:rsidRDefault="00245ED1" w:rsidP="00400087">
            <w:r>
              <w:rPr>
                <w:color w:val="333333"/>
                <w:sz w:val="20"/>
                <w:szCs w:val="20"/>
              </w:rPr>
              <w:t>Facilities / Security</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2FE078D" w14:textId="77777777" w:rsidR="00245ED1" w:rsidRDefault="00245ED1" w:rsidP="00400087">
            <w:r>
              <w:rPr>
                <w:color w:val="333333"/>
                <w:sz w:val="20"/>
                <w:szCs w:val="20"/>
              </w:rPr>
              <w:t>Access audit logs; ISO27001/SOC2 cert</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6748157" w14:textId="77777777" w:rsidR="00245ED1" w:rsidRDefault="00245ED1" w:rsidP="00400087">
            <w:r>
              <w:rPr>
                <w:color w:val="333333"/>
                <w:sz w:val="20"/>
                <w:szCs w:val="20"/>
              </w:rPr>
              <w:t>Continuous; annual cert</w:t>
            </w:r>
          </w:p>
        </w:tc>
      </w:tr>
      <w:tr w:rsidR="00245ED1" w14:paraId="1042FDA7"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0E79067" w14:textId="77777777" w:rsidR="00245ED1" w:rsidRDefault="00245ED1" w:rsidP="00400087">
            <w:r>
              <w:rPr>
                <w:color w:val="333333"/>
                <w:sz w:val="20"/>
                <w:szCs w:val="20"/>
              </w:rPr>
              <w:t>Network architecture diagrams with segmentation documentation</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E9B7D16" w14:textId="77777777" w:rsidR="00245ED1" w:rsidRDefault="00245ED1" w:rsidP="00400087">
            <w:r>
              <w:rPr>
                <w:color w:val="333333"/>
                <w:sz w:val="20"/>
                <w:szCs w:val="20"/>
              </w:rPr>
              <w:t>Network team</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E1A7B46" w14:textId="77777777" w:rsidR="00245ED1" w:rsidRDefault="00245ED1" w:rsidP="00400087">
            <w:r>
              <w:rPr>
                <w:color w:val="333333"/>
                <w:sz w:val="20"/>
                <w:szCs w:val="20"/>
              </w:rPr>
              <w:t>Architecture as-built documentation</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8F814CD" w14:textId="77777777" w:rsidR="00245ED1" w:rsidRDefault="00245ED1" w:rsidP="00400087">
            <w:r>
              <w:rPr>
                <w:color w:val="333333"/>
                <w:sz w:val="20"/>
                <w:szCs w:val="20"/>
              </w:rPr>
              <w:t>On change</w:t>
            </w:r>
          </w:p>
        </w:tc>
      </w:tr>
      <w:tr w:rsidR="00245ED1" w14:paraId="514326BB"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509A8D6" w14:textId="77777777" w:rsidR="00245ED1" w:rsidRDefault="00245ED1" w:rsidP="00400087">
            <w:r>
              <w:rPr>
                <w:color w:val="333333"/>
                <w:sz w:val="20"/>
                <w:szCs w:val="20"/>
              </w:rPr>
              <w:t>Cloud agreement terms specifying residency and audit rights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E9F0A4A" w14:textId="77777777" w:rsidR="00245ED1" w:rsidRDefault="00245ED1" w:rsidP="00400087">
            <w:r>
              <w:rPr>
                <w:color w:val="333333"/>
                <w:sz w:val="20"/>
                <w:szCs w:val="20"/>
              </w:rPr>
              <w:t>Legal / Procurement</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65A65C5" w14:textId="77777777" w:rsidR="00245ED1" w:rsidRDefault="00245ED1" w:rsidP="00400087">
            <w:r>
              <w:rPr>
                <w:color w:val="333333"/>
                <w:sz w:val="20"/>
                <w:szCs w:val="20"/>
              </w:rPr>
              <w:t>Signed contract excerpts</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4FEE279" w14:textId="77777777" w:rsidR="00245ED1" w:rsidRDefault="00245ED1" w:rsidP="00400087">
            <w:r>
              <w:rPr>
                <w:color w:val="333333"/>
                <w:sz w:val="20"/>
                <w:szCs w:val="20"/>
              </w:rPr>
              <w:t>On renewal</w:t>
            </w:r>
          </w:p>
        </w:tc>
      </w:tr>
      <w:tr w:rsidR="00245ED1" w14:paraId="636803B8"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831A78E" w14:textId="77777777" w:rsidR="00245ED1" w:rsidRDefault="00245ED1" w:rsidP="00400087">
            <w:r>
              <w:rPr>
                <w:color w:val="333333"/>
                <w:sz w:val="20"/>
                <w:szCs w:val="20"/>
              </w:rPr>
              <w:lastRenderedPageBreak/>
              <w:t>Key management architecture documentation proving key sovereignty</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3F5C156" w14:textId="77777777" w:rsidR="00245ED1" w:rsidRDefault="00245ED1" w:rsidP="00400087">
            <w:r>
              <w:rPr>
                <w:color w:val="333333"/>
                <w:sz w:val="20"/>
                <w:szCs w:val="20"/>
              </w:rPr>
              <w:t>Security / Crypto team</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606D669" w14:textId="77777777" w:rsidR="00245ED1" w:rsidRDefault="00245ED1" w:rsidP="00400087">
            <w:r>
              <w:rPr>
                <w:color w:val="333333"/>
                <w:sz w:val="20"/>
                <w:szCs w:val="20"/>
              </w:rPr>
              <w:t>Architecture documentation + HSM audit</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F5C4FA4" w14:textId="77777777" w:rsidR="00245ED1" w:rsidRDefault="00245ED1" w:rsidP="00400087">
            <w:r>
              <w:rPr>
                <w:color w:val="333333"/>
                <w:sz w:val="20"/>
                <w:szCs w:val="20"/>
              </w:rPr>
              <w:t>Annual</w:t>
            </w:r>
          </w:p>
        </w:tc>
      </w:tr>
      <w:tr w:rsidR="00245ED1" w14:paraId="3F4C72E6"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8638C14" w14:textId="77777777" w:rsidR="00245ED1" w:rsidRDefault="00245ED1" w:rsidP="00400087">
            <w:r>
              <w:rPr>
                <w:color w:val="333333"/>
                <w:sz w:val="20"/>
                <w:szCs w:val="20"/>
              </w:rPr>
              <w:t>Software Bill of Materials (SBOM) for full stack</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E0193C4" w14:textId="77777777" w:rsidR="00245ED1" w:rsidRDefault="00245ED1" w:rsidP="00400087">
            <w:r>
              <w:rPr>
                <w:color w:val="333333"/>
                <w:sz w:val="20"/>
                <w:szCs w:val="20"/>
              </w:rPr>
              <w:t>Engineering</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D8E7807" w14:textId="77777777" w:rsidR="00245ED1" w:rsidRDefault="00245ED1" w:rsidP="00400087">
            <w:r>
              <w:rPr>
                <w:color w:val="333333"/>
                <w:sz w:val="20"/>
                <w:szCs w:val="20"/>
              </w:rPr>
              <w:t>SBOM in SPDX or CycloneDX format</w:t>
            </w:r>
          </w:p>
        </w:tc>
        <w:tc>
          <w:tcPr>
            <w:tcW w:w="0" w:type="auto"/>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0D9F9CBB" w14:textId="77777777" w:rsidR="00245ED1" w:rsidRDefault="00245ED1" w:rsidP="00400087">
            <w:r>
              <w:rPr>
                <w:color w:val="333333"/>
                <w:sz w:val="20"/>
                <w:szCs w:val="20"/>
              </w:rPr>
              <w:t>On every release</w:t>
            </w:r>
          </w:p>
        </w:tc>
      </w:tr>
      <w:tr w:rsidR="00245ED1" w14:paraId="7E1A6842" w14:textId="77777777" w:rsidTr="00245ED1">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2E0A789" w14:textId="77777777" w:rsidR="00245ED1" w:rsidRDefault="00245ED1" w:rsidP="00400087">
            <w:r>
              <w:rPr>
                <w:color w:val="333333"/>
                <w:sz w:val="20"/>
                <w:szCs w:val="20"/>
              </w:rPr>
              <w:t>Third-party audit reports covering the full stack</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F8825A3" w14:textId="77777777" w:rsidR="00245ED1" w:rsidRDefault="00245ED1" w:rsidP="00400087">
            <w:r>
              <w:rPr>
                <w:color w:val="333333"/>
                <w:sz w:val="20"/>
                <w:szCs w:val="20"/>
              </w:rPr>
              <w:t>Compliance</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518A33A" w14:textId="77777777" w:rsidR="00245ED1" w:rsidRDefault="00245ED1" w:rsidP="00400087">
            <w:r>
              <w:rPr>
                <w:color w:val="333333"/>
                <w:sz w:val="20"/>
                <w:szCs w:val="20"/>
              </w:rPr>
              <w:t>SOC2 Type II / ISO 27001 / NIST assessment</w:t>
            </w:r>
          </w:p>
        </w:tc>
        <w:tc>
          <w:tcPr>
            <w:tcW w:w="0" w:type="auto"/>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D3AA6B5" w14:textId="77777777" w:rsidR="00245ED1" w:rsidRDefault="00245ED1" w:rsidP="00400087">
            <w:r>
              <w:rPr>
                <w:color w:val="333333"/>
                <w:sz w:val="20"/>
                <w:szCs w:val="20"/>
              </w:rPr>
              <w:t>Annual</w:t>
            </w:r>
          </w:p>
        </w:tc>
      </w:tr>
    </w:tbl>
    <w:p w14:paraId="1A81839F" w14:textId="77777777" w:rsidR="00F9175C" w:rsidRDefault="00F9175C" w:rsidP="007B668C"/>
    <w:p w14:paraId="7612CFC1" w14:textId="738A44E2" w:rsidR="007B668C" w:rsidRDefault="007B668C" w:rsidP="007B668C">
      <w:r>
        <w:t>This evidence package is what you present to your government, your board, or a regulatory authority to demonstrate that you have maintained meaningful sovereignty and integrity assurance from the moment hardware left the factory to the moment it is running your AI workloads.</w:t>
      </w:r>
    </w:p>
    <w:tbl>
      <w:tblPr>
        <w:tblStyle w:val="TableGrid"/>
        <w:tblW w:w="0" w:type="auto"/>
        <w:tblBorders>
          <w:top w:val="none" w:sz="0" w:space="0" w:color="auto"/>
          <w:left w:val="single" w:sz="24" w:space="0" w:color="215E99" w:themeColor="text2" w:themeTint="BF"/>
          <w:bottom w:val="none" w:sz="0" w:space="0" w:color="auto"/>
          <w:right w:val="none" w:sz="0" w:space="0" w:color="auto"/>
          <w:insideH w:val="none" w:sz="0" w:space="0" w:color="auto"/>
          <w:insideV w:val="none" w:sz="0" w:space="0" w:color="auto"/>
        </w:tblBorders>
        <w:shd w:val="clear" w:color="auto" w:fill="C1E4F5" w:themeFill="accent1" w:themeFillTint="33"/>
        <w:tblCellMar>
          <w:top w:w="144" w:type="dxa"/>
          <w:left w:w="144" w:type="dxa"/>
          <w:bottom w:w="144" w:type="dxa"/>
          <w:right w:w="144" w:type="dxa"/>
        </w:tblCellMar>
        <w:tblLook w:val="04A0" w:firstRow="1" w:lastRow="0" w:firstColumn="1" w:lastColumn="0" w:noHBand="0" w:noVBand="1"/>
      </w:tblPr>
      <w:tblGrid>
        <w:gridCol w:w="9330"/>
      </w:tblGrid>
      <w:tr w:rsidR="00065F0F" w14:paraId="10874491" w14:textId="77777777" w:rsidTr="00C32805">
        <w:tc>
          <w:tcPr>
            <w:tcW w:w="9350" w:type="dxa"/>
            <w:shd w:val="clear" w:color="auto" w:fill="C1E4F5" w:themeFill="accent1" w:themeFillTint="33"/>
          </w:tcPr>
          <w:p w14:paraId="3EE8645D" w14:textId="77777777" w:rsidR="00C32805" w:rsidRDefault="00C32805" w:rsidP="00C32805">
            <w:pPr>
              <w:spacing w:after="60"/>
            </w:pPr>
            <w:r>
              <w:rPr>
                <w:b/>
                <w:bCs/>
                <w:color w:val="1A4C8E"/>
              </w:rPr>
              <w:t>Residual Risk Acknowledgment</w:t>
            </w:r>
          </w:p>
          <w:p w14:paraId="7E5EA906" w14:textId="1DEC84F7" w:rsidR="00065F0F" w:rsidRDefault="00C32805" w:rsidP="00C32805">
            <w:r>
              <w:rPr>
                <w:color w:val="333333"/>
                <w:sz w:val="20"/>
                <w:szCs w:val="20"/>
              </w:rPr>
              <w:t>Even with all of the above, complete chain-of-custody assurance has limits. Hardware implants at the silicon level are essentially undetectable with current commercial inspection techniques. Sophisticated nation-state adversaries with access to the fabrication supply chain could introduce vulnerabilities that no amount of incoming inspection would catch. Sovereign AI planning must be honest about residual risk</w:t>
            </w:r>
            <w:r w:rsidR="000742C9">
              <w:rPr>
                <w:color w:val="333333"/>
                <w:sz w:val="20"/>
                <w:szCs w:val="20"/>
              </w:rPr>
              <w:t>. T</w:t>
            </w:r>
            <w:r>
              <w:rPr>
                <w:color w:val="333333"/>
                <w:sz w:val="20"/>
                <w:szCs w:val="20"/>
              </w:rPr>
              <w:t>he goal is demonstrable, auditable, and legally defensible sovereignty at every layer you can control, combined with clear-eyed risk acceptance documentation for the layers you cannot.</w:t>
            </w:r>
          </w:p>
        </w:tc>
      </w:tr>
    </w:tbl>
    <w:p w14:paraId="0DEA82C6" w14:textId="77777777" w:rsidR="0080095E" w:rsidRDefault="0080095E">
      <w:pPr>
        <w:rPr>
          <w:rFonts w:eastAsiaTheme="majorEastAsia" w:cstheme="majorBidi"/>
          <w:b/>
          <w:color w:val="0F4761" w:themeColor="accent1" w:themeShade="BF"/>
          <w:sz w:val="36"/>
          <w:szCs w:val="40"/>
        </w:rPr>
      </w:pPr>
      <w:r>
        <w:br w:type="page"/>
      </w:r>
    </w:p>
    <w:p w14:paraId="2842EE43" w14:textId="2C993DF4" w:rsidR="004C7B6F" w:rsidRDefault="004C7B6F" w:rsidP="00AB3654">
      <w:pPr>
        <w:pStyle w:val="Heading1"/>
      </w:pPr>
      <w:bookmarkStart w:id="69" w:name="_Toc224031165"/>
      <w:r>
        <w:lastRenderedPageBreak/>
        <w:t>Summary and Decision Framework</w:t>
      </w:r>
      <w:bookmarkEnd w:id="69"/>
    </w:p>
    <w:p w14:paraId="6EF879F8" w14:textId="55886C26" w:rsidR="004C7B6F" w:rsidRDefault="00225E5B" w:rsidP="00225E5B">
      <w:pPr>
        <w:pStyle w:val="Heading2"/>
      </w:pPr>
      <w:bookmarkStart w:id="70" w:name="_Toc224031166"/>
      <w:r>
        <w:t>What we have covered</w:t>
      </w:r>
      <w:bookmarkEnd w:id="70"/>
    </w:p>
    <w:p w14:paraId="7CAB9384" w14:textId="5A13418E" w:rsidR="00225E5B" w:rsidRDefault="00225E5B" w:rsidP="008124F3">
      <w:pPr>
        <w:spacing w:before="80" w:after="80"/>
        <w:jc w:val="both"/>
      </w:pPr>
      <w:r>
        <w:rPr>
          <w:color w:val="333333"/>
        </w:rPr>
        <w:t>This guide has traced the Sovereign AI supply chain from minerals to models: the legal landscape (data privacy laws and jurisdictional laws in fundamental tension), the hardware supply chain (mapping chokepoints and their geopolitical implications), systems chain-of-custody (procurement through data center operations), and the full AI software stack (firmware through AI-specific security requirements).</w:t>
      </w:r>
    </w:p>
    <w:p w14:paraId="2420A4D7" w14:textId="1981D725" w:rsidR="00225E5B" w:rsidRDefault="00225E5B" w:rsidP="00225E5B">
      <w:pPr>
        <w:rPr>
          <w:color w:val="333333"/>
        </w:rPr>
      </w:pPr>
      <w:r>
        <w:rPr>
          <w:color w:val="333333"/>
        </w:rPr>
        <w:t>The central finding throughout is consistent: hardware-level full sovereignty is currently impossible for any nation. The AI semiconductor supply chain is globally concentrated across US chip design tools and architectures, Dutch EUV lithography, Taiwanese fabrication, and NVIDIA GPUs. The practical question is not whether to accept these dependencies but how to manage them</w:t>
      </w:r>
      <w:r w:rsidR="00D34A67">
        <w:rPr>
          <w:color w:val="333333"/>
        </w:rPr>
        <w:t>.</w:t>
      </w:r>
    </w:p>
    <w:p w14:paraId="740A2303" w14:textId="42FFF50D" w:rsidR="00D34A67" w:rsidRDefault="00D34A67" w:rsidP="00E074D5">
      <w:pPr>
        <w:pStyle w:val="Heading2"/>
      </w:pPr>
      <w:bookmarkStart w:id="71" w:name="_Toc224031167"/>
      <w:r>
        <w:t>Where Sovereignty becomes Actionable</w:t>
      </w:r>
      <w:bookmarkEnd w:id="71"/>
    </w:p>
    <w:p w14:paraId="5838BC62" w14:textId="77777777" w:rsidR="00E074D5" w:rsidRDefault="00E074D5" w:rsidP="00E074D5">
      <w:pPr>
        <w:spacing w:before="80" w:after="80"/>
        <w:jc w:val="both"/>
      </w:pPr>
      <w:r>
        <w:rPr>
          <w:color w:val="333333"/>
        </w:rPr>
        <w:t>The layers above silicon are where sovereign AI programs can make meaningful, demonstrable, and auditable claims. The following framework helps determine where to invest:</w:t>
      </w:r>
    </w:p>
    <w:p w14:paraId="139FD046" w14:textId="77777777" w:rsidR="00E074D5" w:rsidRDefault="00E074D5" w:rsidP="00E074D5">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9"/>
        <w:gridCol w:w="3150"/>
        <w:gridCol w:w="3599"/>
      </w:tblGrid>
      <w:tr w:rsidR="00E074D5" w14:paraId="29F7FA91" w14:textId="77777777" w:rsidTr="008124F3">
        <w:tc>
          <w:tcPr>
            <w:tcW w:w="260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7505CAA5" w14:textId="77777777" w:rsidR="00E074D5" w:rsidRDefault="00E074D5" w:rsidP="001D1A28">
            <w:r>
              <w:rPr>
                <w:b/>
                <w:bCs/>
                <w:color w:val="FFFFFF"/>
                <w:sz w:val="20"/>
                <w:szCs w:val="20"/>
              </w:rPr>
              <w:t>Layer</w:t>
            </w:r>
          </w:p>
        </w:tc>
        <w:tc>
          <w:tcPr>
            <w:tcW w:w="3150"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7A3C0523" w14:textId="77777777" w:rsidR="00E074D5" w:rsidRDefault="00E074D5" w:rsidP="001D1A28">
            <w:r>
              <w:rPr>
                <w:b/>
                <w:bCs/>
                <w:color w:val="FFFFFF"/>
                <w:sz w:val="20"/>
                <w:szCs w:val="20"/>
              </w:rPr>
              <w:t>Sovereignty Status</w:t>
            </w:r>
          </w:p>
        </w:tc>
        <w:tc>
          <w:tcPr>
            <w:tcW w:w="359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6B9E10D0" w14:textId="77777777" w:rsidR="00E074D5" w:rsidRDefault="00E074D5" w:rsidP="001D1A28">
            <w:r>
              <w:rPr>
                <w:b/>
                <w:bCs/>
                <w:color w:val="FFFFFF"/>
                <w:sz w:val="20"/>
                <w:szCs w:val="20"/>
              </w:rPr>
              <w:t>Primary Action</w:t>
            </w:r>
          </w:p>
        </w:tc>
      </w:tr>
      <w:tr w:rsidR="00E074D5" w14:paraId="7DD39002"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9546205" w14:textId="77777777" w:rsidR="00E074D5" w:rsidRDefault="00E074D5" w:rsidP="001D1A28">
            <w:r>
              <w:rPr>
                <w:color w:val="333333"/>
                <w:sz w:val="20"/>
                <w:szCs w:val="20"/>
              </w:rPr>
              <w:t>Raw Materials &amp; EDA</w:t>
            </w:r>
          </w:p>
        </w:tc>
        <w:tc>
          <w:tcPr>
            <w:tcW w:w="315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5412F63" w14:textId="77777777" w:rsidR="00E074D5" w:rsidRDefault="00E074D5" w:rsidP="001D1A28">
            <w:r>
              <w:rPr>
                <w:color w:val="333333"/>
                <w:sz w:val="20"/>
                <w:szCs w:val="20"/>
              </w:rPr>
              <w:t>Not controllable today</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0C3AD13" w14:textId="77777777" w:rsidR="00E074D5" w:rsidRDefault="00E074D5" w:rsidP="001D1A28">
            <w:r>
              <w:rPr>
                <w:color w:val="333333"/>
                <w:sz w:val="20"/>
                <w:szCs w:val="20"/>
              </w:rPr>
              <w:t>Document as accepted risk; monitor export controls</w:t>
            </w:r>
          </w:p>
        </w:tc>
      </w:tr>
      <w:tr w:rsidR="00E074D5" w14:paraId="061934BE"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848A253" w14:textId="77777777" w:rsidR="00E074D5" w:rsidRDefault="00E074D5" w:rsidP="001D1A28">
            <w:r>
              <w:rPr>
                <w:color w:val="333333"/>
                <w:sz w:val="20"/>
                <w:szCs w:val="20"/>
              </w:rPr>
              <w:t>Fab &amp; Packaging</w:t>
            </w:r>
          </w:p>
        </w:tc>
        <w:tc>
          <w:tcPr>
            <w:tcW w:w="315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5881EE5" w14:textId="77777777" w:rsidR="00E074D5" w:rsidRDefault="00E074D5" w:rsidP="001D1A28">
            <w:r>
              <w:rPr>
                <w:color w:val="333333"/>
                <w:sz w:val="20"/>
                <w:szCs w:val="20"/>
              </w:rPr>
              <w:t>Not controllable today; CHIPS Act is decade-long</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21621BD" w14:textId="77777777" w:rsidR="00E074D5" w:rsidRDefault="00E074D5" w:rsidP="001D1A28">
            <w:r>
              <w:rPr>
                <w:color w:val="333333"/>
                <w:sz w:val="20"/>
                <w:szCs w:val="20"/>
              </w:rPr>
              <w:t>Document; ensure allied-nation supply chains</w:t>
            </w:r>
          </w:p>
        </w:tc>
      </w:tr>
      <w:tr w:rsidR="00E074D5" w14:paraId="0CCFE18D"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100911C7" w14:textId="77777777" w:rsidR="00E074D5" w:rsidRDefault="00E074D5" w:rsidP="001D1A28">
            <w:r>
              <w:rPr>
                <w:color w:val="333333"/>
                <w:sz w:val="20"/>
                <w:szCs w:val="20"/>
              </w:rPr>
              <w:t>AI Chips / Servers</w:t>
            </w:r>
          </w:p>
        </w:tc>
        <w:tc>
          <w:tcPr>
            <w:tcW w:w="315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6FBADF9" w14:textId="77777777" w:rsidR="00E074D5" w:rsidRDefault="00E074D5" w:rsidP="001D1A28">
            <w:r>
              <w:rPr>
                <w:color w:val="333333"/>
                <w:sz w:val="20"/>
                <w:szCs w:val="20"/>
              </w:rPr>
              <w:t>Partially controllable through vendor qualification</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04E0984" w14:textId="77777777" w:rsidR="00E074D5" w:rsidRDefault="00E074D5" w:rsidP="001D1A28">
            <w:r>
              <w:rPr>
                <w:color w:val="333333"/>
                <w:sz w:val="20"/>
                <w:szCs w:val="20"/>
              </w:rPr>
              <w:t>AVL; BOM verification; incoming inspection; attestation</w:t>
            </w:r>
          </w:p>
        </w:tc>
      </w:tr>
      <w:tr w:rsidR="00E074D5" w14:paraId="32D0839A"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E0C9479" w14:textId="77777777" w:rsidR="00E074D5" w:rsidRDefault="00E074D5" w:rsidP="001D1A28">
            <w:r>
              <w:rPr>
                <w:color w:val="333333"/>
                <w:sz w:val="20"/>
                <w:szCs w:val="20"/>
              </w:rPr>
              <w:t>Data Center</w:t>
            </w:r>
          </w:p>
        </w:tc>
        <w:tc>
          <w:tcPr>
            <w:tcW w:w="315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3A8ACEA" w14:textId="77777777" w:rsidR="00E074D5" w:rsidRDefault="00E074D5" w:rsidP="001D1A28">
            <w:r>
              <w:rPr>
                <w:color w:val="333333"/>
                <w:sz w:val="20"/>
                <w:szCs w:val="20"/>
              </w:rPr>
              <w:t>Fully controllable</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8FE675F" w14:textId="77777777" w:rsidR="00E074D5" w:rsidRDefault="00E074D5" w:rsidP="001D1A28">
            <w:r>
              <w:rPr>
                <w:color w:val="333333"/>
                <w:sz w:val="20"/>
                <w:szCs w:val="20"/>
              </w:rPr>
              <w:t>Physical security zoning; access logs; TPI; sovereign certs</w:t>
            </w:r>
          </w:p>
        </w:tc>
      </w:tr>
      <w:tr w:rsidR="00E074D5" w14:paraId="0FB25C3F"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455677E" w14:textId="77777777" w:rsidR="00E074D5" w:rsidRDefault="00E074D5" w:rsidP="001D1A28">
            <w:r>
              <w:rPr>
                <w:color w:val="333333"/>
                <w:sz w:val="20"/>
                <w:szCs w:val="20"/>
              </w:rPr>
              <w:t>Network</w:t>
            </w:r>
          </w:p>
        </w:tc>
        <w:tc>
          <w:tcPr>
            <w:tcW w:w="315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B6FF742" w14:textId="77777777" w:rsidR="00E074D5" w:rsidRDefault="00E074D5" w:rsidP="001D1A28">
            <w:r>
              <w:rPr>
                <w:color w:val="333333"/>
                <w:sz w:val="20"/>
                <w:szCs w:val="20"/>
              </w:rPr>
              <w:t>Fully controllable</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16D7870" w14:textId="77777777" w:rsidR="00E074D5" w:rsidRDefault="00E074D5" w:rsidP="001D1A28">
            <w:r>
              <w:rPr>
                <w:color w:val="333333"/>
                <w:sz w:val="20"/>
                <w:szCs w:val="20"/>
              </w:rPr>
              <w:t>OOB isolation; segmentation; encrypted interconnects; flow logs</w:t>
            </w:r>
          </w:p>
        </w:tc>
      </w:tr>
      <w:tr w:rsidR="00E074D5" w14:paraId="0CC94C2B"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889A498" w14:textId="77777777" w:rsidR="00E074D5" w:rsidRDefault="00E074D5" w:rsidP="001D1A28">
            <w:r>
              <w:rPr>
                <w:color w:val="333333"/>
                <w:sz w:val="20"/>
                <w:szCs w:val="20"/>
              </w:rPr>
              <w:t>Cloud/Hyperscaler</w:t>
            </w:r>
          </w:p>
        </w:tc>
        <w:tc>
          <w:tcPr>
            <w:tcW w:w="315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637C2E8A" w14:textId="77777777" w:rsidR="00E074D5" w:rsidRDefault="00E074D5" w:rsidP="001D1A28">
            <w:r>
              <w:rPr>
                <w:color w:val="333333"/>
                <w:sz w:val="20"/>
                <w:szCs w:val="20"/>
              </w:rPr>
              <w:t>Contractually controllable</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2E123D60" w14:textId="77777777" w:rsidR="00E074D5" w:rsidRDefault="00E074D5" w:rsidP="001D1A28">
            <w:r>
              <w:rPr>
                <w:color w:val="333333"/>
                <w:sz w:val="20"/>
                <w:szCs w:val="20"/>
              </w:rPr>
              <w:t>CMK with sovereign HSMs; dedicated infra; confidential computing; audit rights</w:t>
            </w:r>
          </w:p>
        </w:tc>
      </w:tr>
      <w:tr w:rsidR="00E074D5" w14:paraId="7ECE1945"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17BBB41" w14:textId="77777777" w:rsidR="00E074D5" w:rsidRDefault="00E074D5" w:rsidP="001D1A28">
            <w:r>
              <w:rPr>
                <w:color w:val="333333"/>
                <w:sz w:val="20"/>
                <w:szCs w:val="20"/>
              </w:rPr>
              <w:t>OS &amp; Firmware</w:t>
            </w:r>
          </w:p>
        </w:tc>
        <w:tc>
          <w:tcPr>
            <w:tcW w:w="315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2CB77D8" w14:textId="77777777" w:rsidR="00E074D5" w:rsidRDefault="00E074D5" w:rsidP="001D1A28">
            <w:r>
              <w:rPr>
                <w:color w:val="333333"/>
                <w:sz w:val="20"/>
                <w:szCs w:val="20"/>
              </w:rPr>
              <w:t>Fully controllable</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2C15B07" w14:textId="77777777" w:rsidR="00E074D5" w:rsidRDefault="00E074D5" w:rsidP="001D1A28">
            <w:r>
              <w:rPr>
                <w:color w:val="333333"/>
                <w:sz w:val="20"/>
                <w:szCs w:val="20"/>
              </w:rPr>
              <w:t>Immutable images; air-gapped repos; integrity monitoring; Secure Boot</w:t>
            </w:r>
          </w:p>
        </w:tc>
      </w:tr>
      <w:tr w:rsidR="00E074D5" w14:paraId="6D4615C0"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3AC647A" w14:textId="77777777" w:rsidR="00E074D5" w:rsidRDefault="00E074D5" w:rsidP="001D1A28">
            <w:r>
              <w:rPr>
                <w:color w:val="333333"/>
                <w:sz w:val="20"/>
                <w:szCs w:val="20"/>
              </w:rPr>
              <w:lastRenderedPageBreak/>
              <w:t>AI Frameworks &amp; Models</w:t>
            </w:r>
          </w:p>
        </w:tc>
        <w:tc>
          <w:tcPr>
            <w:tcW w:w="315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47977243" w14:textId="77777777" w:rsidR="00E074D5" w:rsidRDefault="00E074D5" w:rsidP="001D1A28">
            <w:r>
              <w:rPr>
                <w:color w:val="333333"/>
                <w:sz w:val="20"/>
                <w:szCs w:val="20"/>
              </w:rPr>
              <w:t>Fully controllable with discipline</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8075B4B" w14:textId="77777777" w:rsidR="00E074D5" w:rsidRDefault="00E074D5" w:rsidP="001D1A28">
            <w:r>
              <w:rPr>
                <w:color w:val="333333"/>
                <w:sz w:val="20"/>
                <w:szCs w:val="20"/>
              </w:rPr>
              <w:t>Internal repos; SBOM; model registry; offline CUDA licensing</w:t>
            </w:r>
          </w:p>
        </w:tc>
      </w:tr>
      <w:tr w:rsidR="00E074D5" w14:paraId="48B4DA38"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4BD47DC" w14:textId="77777777" w:rsidR="00E074D5" w:rsidRDefault="00E074D5" w:rsidP="001D1A28">
            <w:r>
              <w:rPr>
                <w:color w:val="333333"/>
                <w:sz w:val="20"/>
                <w:szCs w:val="20"/>
              </w:rPr>
              <w:t>Data &amp; Training</w:t>
            </w:r>
          </w:p>
        </w:tc>
        <w:tc>
          <w:tcPr>
            <w:tcW w:w="315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C7A85FB" w14:textId="77777777" w:rsidR="00E074D5" w:rsidRDefault="00E074D5" w:rsidP="001D1A28">
            <w:r>
              <w:rPr>
                <w:color w:val="333333"/>
                <w:sz w:val="20"/>
                <w:szCs w:val="20"/>
              </w:rPr>
              <w:t>Fully controllable</w:t>
            </w:r>
          </w:p>
        </w:tc>
        <w:tc>
          <w:tcPr>
            <w:tcW w:w="359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372DDD3" w14:textId="77777777" w:rsidR="00E074D5" w:rsidRDefault="00E074D5" w:rsidP="001D1A28">
            <w:r>
              <w:rPr>
                <w:color w:val="333333"/>
                <w:sz w:val="20"/>
                <w:szCs w:val="20"/>
              </w:rPr>
              <w:t>Data classification; lineage documentation; no external API processing</w:t>
            </w:r>
          </w:p>
        </w:tc>
      </w:tr>
      <w:tr w:rsidR="00E074D5" w14:paraId="7FD59854" w14:textId="77777777" w:rsidTr="008124F3">
        <w:tc>
          <w:tcPr>
            <w:tcW w:w="260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D2465C4" w14:textId="77777777" w:rsidR="00E074D5" w:rsidRDefault="00E074D5" w:rsidP="001D1A28">
            <w:r>
              <w:rPr>
                <w:color w:val="333333"/>
                <w:sz w:val="20"/>
                <w:szCs w:val="20"/>
              </w:rPr>
              <w:t>Identity &amp; Logging</w:t>
            </w:r>
          </w:p>
        </w:tc>
        <w:tc>
          <w:tcPr>
            <w:tcW w:w="315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860FEB9" w14:textId="77777777" w:rsidR="00E074D5" w:rsidRDefault="00E074D5" w:rsidP="001D1A28">
            <w:r>
              <w:rPr>
                <w:color w:val="333333"/>
                <w:sz w:val="20"/>
                <w:szCs w:val="20"/>
              </w:rPr>
              <w:t>Fully controllable</w:t>
            </w:r>
          </w:p>
        </w:tc>
        <w:tc>
          <w:tcPr>
            <w:tcW w:w="359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1C18D5FA" w14:textId="77777777" w:rsidR="00E074D5" w:rsidRDefault="00E074D5" w:rsidP="001D1A28">
            <w:r>
              <w:rPr>
                <w:color w:val="333333"/>
                <w:sz w:val="20"/>
                <w:szCs w:val="20"/>
              </w:rPr>
              <w:t>Sovereign IdP; immutable logs; Zero Trust; PAM</w:t>
            </w:r>
          </w:p>
        </w:tc>
      </w:tr>
    </w:tbl>
    <w:p w14:paraId="4041DDC7" w14:textId="77777777" w:rsidR="00E074D5" w:rsidRDefault="00E074D5" w:rsidP="00E074D5">
      <w:pPr>
        <w:spacing w:before="60"/>
      </w:pPr>
    </w:p>
    <w:p w14:paraId="7200ADB4" w14:textId="31CDDFE2" w:rsidR="005B2A4D" w:rsidRDefault="005B2A4D" w:rsidP="005B2A4D">
      <w:pPr>
        <w:pStyle w:val="Heading2"/>
      </w:pPr>
      <w:bookmarkStart w:id="72" w:name="_Toc223908361"/>
      <w:bookmarkStart w:id="73" w:name="_Toc224031168"/>
      <w:r>
        <w:t>Sovereign AI Decision Checklist</w:t>
      </w:r>
      <w:bookmarkEnd w:id="72"/>
      <w:bookmarkEnd w:id="73"/>
    </w:p>
    <w:p w14:paraId="6B45C196" w14:textId="14839A2F" w:rsidR="005B2A4D" w:rsidRDefault="005B2A4D" w:rsidP="005B2A4D">
      <w:pPr>
        <w:spacing w:before="80" w:after="80"/>
        <w:jc w:val="both"/>
      </w:pPr>
      <w:r>
        <w:rPr>
          <w:color w:val="333333"/>
        </w:rPr>
        <w:t>Use the following checklist to assess the current state of your sovereign AI program:</w:t>
      </w:r>
    </w:p>
    <w:p w14:paraId="256CA6BD" w14:textId="77777777" w:rsidR="004C1DD8" w:rsidRDefault="004C1DD8" w:rsidP="005B2A4D">
      <w:pPr>
        <w:spacing w:before="80" w:after="80"/>
        <w:jc w:val="both"/>
      </w:pPr>
    </w:p>
    <w:p w14:paraId="6E207C1E" w14:textId="77777777" w:rsidR="005B2A4D" w:rsidRDefault="005B2A4D" w:rsidP="005B2A4D">
      <w:pPr>
        <w:pStyle w:val="Heading3"/>
        <w:pBdr>
          <w:bottom w:val="single" w:sz="4" w:space="0" w:color="2B7BE8"/>
        </w:pBdr>
      </w:pPr>
      <w:bookmarkStart w:id="74" w:name="_Toc223908362"/>
      <w:bookmarkStart w:id="75" w:name="_Toc224031169"/>
      <w:r>
        <w:t>Legal Foundation</w:t>
      </w:r>
      <w:bookmarkEnd w:id="74"/>
      <w:bookmarkEnd w:id="75"/>
    </w:p>
    <w:p w14:paraId="6F468900"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Data Privacy Laws: </w:t>
      </w:r>
      <w:r>
        <w:rPr>
          <w:color w:val="333333"/>
        </w:rPr>
        <w:t>Have you identified all applicable data privacy laws across your operating geographies?</w:t>
      </w:r>
    </w:p>
    <w:p w14:paraId="0002B9D1"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Jurisdictional Exposure: </w:t>
      </w:r>
      <w:r>
        <w:rPr>
          <w:color w:val="333333"/>
        </w:rPr>
        <w:t>Have you identified which providers in your stack are subject to CLOUD Act or equivalent foreign compulsion?</w:t>
      </w:r>
    </w:p>
    <w:p w14:paraId="039F414D"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Key Management: </w:t>
      </w:r>
      <w:r>
        <w:rPr>
          <w:color w:val="333333"/>
        </w:rPr>
        <w:t>Do you hold your own encryption keys in HSMs that you physically control?</w:t>
      </w:r>
    </w:p>
    <w:p w14:paraId="0F98C732"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Contractual Protections: </w:t>
      </w:r>
      <w:r>
        <w:rPr>
          <w:color w:val="333333"/>
        </w:rPr>
        <w:t>Do your cloud agreements specify data residency, audit rights, personnel vetting, and egress guarantees?</w:t>
      </w:r>
    </w:p>
    <w:p w14:paraId="731E8E84" w14:textId="77777777" w:rsidR="005B2A4D" w:rsidRDefault="005B2A4D" w:rsidP="005B2A4D">
      <w:pPr>
        <w:spacing w:before="60"/>
      </w:pPr>
    </w:p>
    <w:p w14:paraId="764E5E61" w14:textId="77777777" w:rsidR="005B2A4D" w:rsidRDefault="005B2A4D" w:rsidP="005B2A4D">
      <w:pPr>
        <w:pStyle w:val="Heading3"/>
        <w:pBdr>
          <w:bottom w:val="single" w:sz="4" w:space="0" w:color="2B7BE8"/>
        </w:pBdr>
      </w:pPr>
      <w:bookmarkStart w:id="76" w:name="_Toc223908363"/>
      <w:bookmarkStart w:id="77" w:name="_Toc224031170"/>
      <w:r>
        <w:t>Supply Chain</w:t>
      </w:r>
      <w:bookmarkEnd w:id="76"/>
      <w:bookmarkEnd w:id="77"/>
    </w:p>
    <w:p w14:paraId="378795F7"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Hardware Provenance: </w:t>
      </w:r>
      <w:r>
        <w:rPr>
          <w:color w:val="333333"/>
        </w:rPr>
        <w:t>Do you have documented AVLs, BOM verification, and certificates of origin for all hardware?</w:t>
      </w:r>
    </w:p>
    <w:p w14:paraId="6790FFC4"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Transit Controls: </w:t>
      </w:r>
      <w:r>
        <w:rPr>
          <w:color w:val="333333"/>
        </w:rPr>
        <w:t>Are you using controlled logistics with chain-of-custody documentation for sensitive hardware shipments?</w:t>
      </w:r>
    </w:p>
    <w:p w14:paraId="40B0F6A4"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Incoming Inspection: </w:t>
      </w:r>
      <w:r>
        <w:rPr>
          <w:color w:val="333333"/>
        </w:rPr>
        <w:t>Do you conduct formal receiving inspection including firmware hash verification and hardware attestation before connecting to your network?</w:t>
      </w:r>
    </w:p>
    <w:p w14:paraId="5FF2D5C1"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Export Control: </w:t>
      </w:r>
      <w:r>
        <w:rPr>
          <w:color w:val="333333"/>
        </w:rPr>
        <w:t>Have you assessed your exposure to US BIS export controls on AI chips and software?</w:t>
      </w:r>
    </w:p>
    <w:p w14:paraId="01FF47B3" w14:textId="77777777" w:rsidR="005B2A4D" w:rsidRDefault="005B2A4D" w:rsidP="005B2A4D">
      <w:pPr>
        <w:spacing w:before="60"/>
      </w:pPr>
    </w:p>
    <w:p w14:paraId="396E57CC" w14:textId="77777777" w:rsidR="005B2A4D" w:rsidRDefault="005B2A4D" w:rsidP="005B2A4D">
      <w:pPr>
        <w:pStyle w:val="Heading3"/>
        <w:pBdr>
          <w:bottom w:val="single" w:sz="4" w:space="0" w:color="2B7BE8"/>
        </w:pBdr>
      </w:pPr>
      <w:bookmarkStart w:id="78" w:name="_Toc223908364"/>
      <w:bookmarkStart w:id="79" w:name="_Toc224031171"/>
      <w:r>
        <w:t>Infrastructure</w:t>
      </w:r>
      <w:bookmarkEnd w:id="78"/>
      <w:bookmarkEnd w:id="79"/>
    </w:p>
    <w:p w14:paraId="592B08AC"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Physical Security: </w:t>
      </w:r>
      <w:r>
        <w:rPr>
          <w:color w:val="333333"/>
        </w:rPr>
        <w:t>Does your data center implement concentric security zones with immutable access logging?</w:t>
      </w:r>
    </w:p>
    <w:p w14:paraId="62F89DFA"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Network Isolation: </w:t>
      </w:r>
      <w:r>
        <w:rPr>
          <w:color w:val="333333"/>
        </w:rPr>
        <w:t>Is your OOB management network air-gapped? Are AI clusters properly segmented?</w:t>
      </w:r>
    </w:p>
    <w:p w14:paraId="76D16472" w14:textId="77777777" w:rsidR="005B2A4D" w:rsidRDefault="005B2A4D" w:rsidP="008C6E7C">
      <w:pPr>
        <w:pStyle w:val="ListParagraph"/>
        <w:numPr>
          <w:ilvl w:val="0"/>
          <w:numId w:val="45"/>
        </w:numPr>
        <w:spacing w:before="60" w:after="60" w:line="240" w:lineRule="auto"/>
        <w:contextualSpacing w:val="0"/>
      </w:pPr>
      <w:r>
        <w:rPr>
          <w:b/>
          <w:bCs/>
          <w:color w:val="0D1F3C"/>
        </w:rPr>
        <w:lastRenderedPageBreak/>
        <w:t xml:space="preserve">Confidential Computing: </w:t>
      </w:r>
      <w:r>
        <w:rPr>
          <w:color w:val="333333"/>
        </w:rPr>
        <w:t>Have you evaluated AMD SEV-SNP, Intel TDX, or NVIDIA Confidential Computing for sensitive cloud workloads?</w:t>
      </w:r>
    </w:p>
    <w:p w14:paraId="5A076771" w14:textId="77777777" w:rsidR="005B2A4D" w:rsidRDefault="005B2A4D" w:rsidP="005B2A4D">
      <w:pPr>
        <w:spacing w:before="60"/>
      </w:pPr>
    </w:p>
    <w:p w14:paraId="691847F8" w14:textId="77777777" w:rsidR="005B2A4D" w:rsidRDefault="005B2A4D" w:rsidP="005B2A4D">
      <w:pPr>
        <w:pStyle w:val="Heading3"/>
        <w:pBdr>
          <w:bottom w:val="single" w:sz="4" w:space="0" w:color="2B7BE8"/>
        </w:pBdr>
      </w:pPr>
      <w:bookmarkStart w:id="80" w:name="_Toc223908365"/>
      <w:bookmarkStart w:id="81" w:name="_Toc224031172"/>
      <w:r>
        <w:t>Software Stack</w:t>
      </w:r>
      <w:bookmarkEnd w:id="80"/>
      <w:bookmarkEnd w:id="81"/>
    </w:p>
    <w:p w14:paraId="638DE0D7"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Package Repositories: </w:t>
      </w:r>
      <w:r>
        <w:rPr>
          <w:color w:val="333333"/>
        </w:rPr>
        <w:t>Are you operating internal, air-gapped package mirrors with formal approval processes?</w:t>
      </w:r>
    </w:p>
    <w:p w14:paraId="54F77996"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Container Registry: </w:t>
      </w:r>
      <w:r>
        <w:rPr>
          <w:color w:val="333333"/>
        </w:rPr>
        <w:t>Are all container images stored in your internal registry, cryptographically signed, and verified before deployment?</w:t>
      </w:r>
    </w:p>
    <w:p w14:paraId="35005565"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Model Registry: </w:t>
      </w:r>
      <w:r>
        <w:rPr>
          <w:color w:val="333333"/>
        </w:rPr>
        <w:t>Are all model weights stored in your internal model registry with no external uploads?</w:t>
      </w:r>
    </w:p>
    <w:p w14:paraId="68D8DEBA"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SBOM: </w:t>
      </w:r>
      <w:r>
        <w:rPr>
          <w:color w:val="333333"/>
        </w:rPr>
        <w:t>Do you maintain a comprehensive Software Bill of Materials updated with every release?</w:t>
      </w:r>
    </w:p>
    <w:p w14:paraId="62E57A02"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MLOps Sovereignty: </w:t>
      </w:r>
      <w:r>
        <w:rPr>
          <w:color w:val="333333"/>
        </w:rPr>
        <w:t>Are all MLOps tools (experiment tracking, CI/CD, artifact management) self-hosted within your sovereign boundary?</w:t>
      </w:r>
    </w:p>
    <w:p w14:paraId="188682E9"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Sovereign IdP: </w:t>
      </w:r>
      <w:r>
        <w:rPr>
          <w:color w:val="333333"/>
        </w:rPr>
        <w:t>Is your identity provider self-hosted and not dependent on a foreign cloud service?</w:t>
      </w:r>
    </w:p>
    <w:p w14:paraId="7B58D27F" w14:textId="77777777" w:rsidR="005B2A4D" w:rsidRDefault="005B2A4D" w:rsidP="008C6E7C">
      <w:pPr>
        <w:pStyle w:val="ListParagraph"/>
        <w:numPr>
          <w:ilvl w:val="0"/>
          <w:numId w:val="45"/>
        </w:numPr>
        <w:spacing w:before="60" w:after="60" w:line="240" w:lineRule="auto"/>
        <w:contextualSpacing w:val="0"/>
      </w:pPr>
      <w:r>
        <w:rPr>
          <w:b/>
          <w:bCs/>
          <w:color w:val="0D1F3C"/>
        </w:rPr>
        <w:t xml:space="preserve">Immutable Logging: </w:t>
      </w:r>
      <w:r>
        <w:rPr>
          <w:color w:val="333333"/>
        </w:rPr>
        <w:t>Are all significant events logged to a system that cannot be modified by any user including administrators?</w:t>
      </w:r>
    </w:p>
    <w:p w14:paraId="199058A3" w14:textId="77777777" w:rsidR="005B2A4D" w:rsidRDefault="005B2A4D" w:rsidP="005B2A4D">
      <w:pPr>
        <w:spacing w:before="60"/>
      </w:pPr>
    </w:p>
    <w:p w14:paraId="51A51A7D" w14:textId="52C51331" w:rsidR="005B2A4D" w:rsidRDefault="005B2A4D" w:rsidP="005B2A4D">
      <w:pPr>
        <w:pStyle w:val="Heading2"/>
      </w:pPr>
      <w:bookmarkStart w:id="82" w:name="_Toc223908366"/>
      <w:bookmarkStart w:id="83" w:name="_Toc224031173"/>
      <w:r>
        <w:t>The Business Case for Sovereign AI Investment</w:t>
      </w:r>
      <w:bookmarkEnd w:id="82"/>
      <w:bookmarkEnd w:id="83"/>
    </w:p>
    <w:p w14:paraId="5EBB83EC" w14:textId="7B276390" w:rsidR="005B2A4D" w:rsidRDefault="005B2A4D" w:rsidP="004C1DD8">
      <w:pPr>
        <w:spacing w:before="80" w:after="80"/>
        <w:jc w:val="both"/>
      </w:pPr>
      <w:r>
        <w:rPr>
          <w:color w:val="333333"/>
        </w:rPr>
        <w:t xml:space="preserve">For organizations evaluating the investment required for sovereign AI, the threshold analysis involves weighing regulatory exposure, strategic risk, and infrastructure cost. Factors that justify higher investment </w:t>
      </w:r>
      <w:r w:rsidR="002E61FD">
        <w:rPr>
          <w:color w:val="333333"/>
        </w:rPr>
        <w:t>include</w:t>
      </w:r>
      <w:r>
        <w:rPr>
          <w:color w:val="333333"/>
        </w:rPr>
        <w:t xml:space="preserve"> revenue exceeding 10–15% from jurisdictions with strong data localization requirements; potential fines exceeding 2% of revenue from GDPR or equivalent; infrastructure that handles national security, healthcare, financial, or critical infrastructure data; and brand or reputational exposure from a sovereignty incident.</w:t>
      </w:r>
    </w:p>
    <w:p w14:paraId="5AC0DF0E" w14:textId="77777777" w:rsidR="005B2A4D" w:rsidRDefault="005B2A4D" w:rsidP="005B2A4D">
      <w:pPr>
        <w:spacing w:before="80" w:after="80"/>
        <w:jc w:val="both"/>
        <w:rPr>
          <w:color w:val="333333"/>
        </w:rPr>
      </w:pPr>
      <w:r>
        <w:rPr>
          <w:color w:val="333333"/>
        </w:rPr>
        <w:t>What is often underappreciated is that sovereignty requirements force a discipline that improves overall security posture — the controls required for demonstrable sovereignty (immutable logging, hardware attestation, rigorous access controls, supply chain documentation) are the same controls that significantly raise the cost and difficulty of a successful attack or breach.</w:t>
      </w:r>
    </w:p>
    <w:p w14:paraId="63857AA4" w14:textId="77777777" w:rsidR="0071592D" w:rsidRPr="00E5594F" w:rsidRDefault="0071592D" w:rsidP="0071592D">
      <w:pPr>
        <w:pStyle w:val="Heading2"/>
      </w:pPr>
      <w:bookmarkStart w:id="84" w:name="_Toc224031174"/>
      <w:r>
        <w:t>Evaluating Sovereignty Investments</w:t>
      </w:r>
      <w:bookmarkEnd w:id="84"/>
    </w:p>
    <w:p w14:paraId="12BED693" w14:textId="77777777" w:rsidR="0071592D" w:rsidRPr="00E5594F" w:rsidRDefault="0071592D" w:rsidP="0071592D">
      <w:r>
        <w:t>Sovereignty is a risk-reward calculus weighing regulatory fines, intellectual property loss, and geopolitical risks against duplication costs. Factors to consider include:</w:t>
      </w:r>
    </w:p>
    <w:p w14:paraId="3E3A7595" w14:textId="77777777" w:rsidR="0071592D" w:rsidRDefault="0071592D" w:rsidP="008C6E7C">
      <w:pPr>
        <w:pStyle w:val="ListParagraph"/>
        <w:numPr>
          <w:ilvl w:val="0"/>
          <w:numId w:val="41"/>
        </w:numPr>
      </w:pPr>
      <w:r>
        <w:t>Market/Revenue Potential</w:t>
      </w:r>
    </w:p>
    <w:p w14:paraId="63BDA719" w14:textId="77777777" w:rsidR="0071592D" w:rsidRDefault="0071592D" w:rsidP="008C6E7C">
      <w:pPr>
        <w:pStyle w:val="ListParagraph"/>
        <w:numPr>
          <w:ilvl w:val="0"/>
          <w:numId w:val="41"/>
        </w:numPr>
      </w:pPr>
      <w:r>
        <w:t>Regulator Risk</w:t>
      </w:r>
    </w:p>
    <w:p w14:paraId="7DC05F57" w14:textId="77777777" w:rsidR="0071592D" w:rsidRDefault="0071592D" w:rsidP="008C6E7C">
      <w:pPr>
        <w:pStyle w:val="ListParagraph"/>
        <w:numPr>
          <w:ilvl w:val="0"/>
          <w:numId w:val="41"/>
        </w:numPr>
      </w:pPr>
      <w:r>
        <w:t>Operational Duplication Impact</w:t>
      </w:r>
    </w:p>
    <w:p w14:paraId="58169712" w14:textId="77777777" w:rsidR="0071592D" w:rsidRDefault="0071592D" w:rsidP="008C6E7C">
      <w:pPr>
        <w:pStyle w:val="ListParagraph"/>
        <w:numPr>
          <w:ilvl w:val="0"/>
          <w:numId w:val="41"/>
        </w:numPr>
      </w:pPr>
      <w:r>
        <w:t>Strategic Value</w:t>
      </w:r>
    </w:p>
    <w:p w14:paraId="75AE8127" w14:textId="77777777" w:rsidR="0071592D" w:rsidRPr="00E5594F" w:rsidRDefault="0071592D" w:rsidP="008C6E7C">
      <w:pPr>
        <w:pStyle w:val="ListParagraph"/>
        <w:numPr>
          <w:ilvl w:val="0"/>
          <w:numId w:val="41"/>
        </w:numPr>
      </w:pPr>
      <w:r>
        <w:t>ROI or Break-Even point </w:t>
      </w:r>
    </w:p>
    <w:p w14:paraId="429D996C" w14:textId="77777777" w:rsidR="0071592D" w:rsidRDefault="0071592D" w:rsidP="0071592D">
      <w:r>
        <w:t>Key Questions </w:t>
      </w:r>
    </w:p>
    <w:p w14:paraId="33139F93" w14:textId="77777777" w:rsidR="0071592D" w:rsidRDefault="0071592D" w:rsidP="008C6E7C">
      <w:pPr>
        <w:pStyle w:val="ListParagraph"/>
        <w:numPr>
          <w:ilvl w:val="0"/>
          <w:numId w:val="39"/>
        </w:numPr>
      </w:pPr>
      <w:r>
        <w:lastRenderedPageBreak/>
        <w:t>What % of global revenue comes from this geo</w:t>
      </w:r>
    </w:p>
    <w:p w14:paraId="12DD8DFE" w14:textId="7DA27E01" w:rsidR="0071592D" w:rsidRDefault="0071592D" w:rsidP="008C6E7C">
      <w:pPr>
        <w:pStyle w:val="ListParagraph"/>
        <w:numPr>
          <w:ilvl w:val="0"/>
          <w:numId w:val="39"/>
        </w:numPr>
      </w:pPr>
      <w:r>
        <w:t xml:space="preserve">Is it a growth </w:t>
      </w:r>
      <w:r w:rsidR="002E61FD">
        <w:t>market?</w:t>
      </w:r>
    </w:p>
    <w:p w14:paraId="589CF69B" w14:textId="5ACAF84C" w:rsidR="0071592D" w:rsidRDefault="0071592D" w:rsidP="008C6E7C">
      <w:pPr>
        <w:pStyle w:val="ListParagraph"/>
        <w:numPr>
          <w:ilvl w:val="0"/>
          <w:numId w:val="39"/>
        </w:numPr>
      </w:pPr>
      <w:r>
        <w:t xml:space="preserve">What's the local data law severity (e.g., GDPR equivalents) and history of </w:t>
      </w:r>
      <w:r w:rsidR="00111DCB">
        <w:t>enforcement.</w:t>
      </w:r>
    </w:p>
    <w:p w14:paraId="18AD6E07" w14:textId="77777777" w:rsidR="0071592D" w:rsidRDefault="0071592D" w:rsidP="008C6E7C">
      <w:pPr>
        <w:pStyle w:val="ListParagraph"/>
        <w:numPr>
          <w:ilvl w:val="0"/>
          <w:numId w:val="39"/>
        </w:numPr>
      </w:pPr>
      <w:r>
        <w:t xml:space="preserve">How much app/infra/ops redundancy is needed? Can we reuse templates? </w:t>
      </w:r>
    </w:p>
    <w:p w14:paraId="5062D497" w14:textId="77777777" w:rsidR="0071592D" w:rsidRDefault="0071592D" w:rsidP="008C6E7C">
      <w:pPr>
        <w:pStyle w:val="ListParagraph"/>
        <w:numPr>
          <w:ilvl w:val="0"/>
          <w:numId w:val="39"/>
        </w:numPr>
      </w:pPr>
      <w:r>
        <w:t>Does this geo involve national security, cultural IP, or competitive edge (e.g., local AI models)?</w:t>
      </w:r>
    </w:p>
    <w:p w14:paraId="7A827AB8" w14:textId="77777777" w:rsidR="0071592D" w:rsidRPr="00E5594F" w:rsidRDefault="0071592D" w:rsidP="008C6E7C">
      <w:pPr>
        <w:pStyle w:val="ListParagraph"/>
        <w:numPr>
          <w:ilvl w:val="0"/>
          <w:numId w:val="39"/>
        </w:numPr>
      </w:pPr>
      <w:r>
        <w:t>What's the cost of duplication vs. risk mitigation?</w:t>
      </w:r>
    </w:p>
    <w:p w14:paraId="7AAAEB30" w14:textId="77777777" w:rsidR="0071592D" w:rsidRDefault="0071592D" w:rsidP="0071592D">
      <w:r>
        <w:t>Threshold for Justification</w:t>
      </w:r>
    </w:p>
    <w:p w14:paraId="0A0D8481" w14:textId="397FAB25" w:rsidR="0071592D" w:rsidRDefault="00111DCB" w:rsidP="008C6E7C">
      <w:pPr>
        <w:pStyle w:val="ListParagraph"/>
        <w:numPr>
          <w:ilvl w:val="0"/>
          <w:numId w:val="40"/>
        </w:numPr>
      </w:pPr>
      <w:r>
        <w:t>(&gt;</w:t>
      </w:r>
      <w:r w:rsidR="0071592D">
        <w:t>10–15% of revenue or high-growth projection (e.g., &gt;20% YoY)</w:t>
      </w:r>
    </w:p>
    <w:p w14:paraId="43A10A47" w14:textId="77777777" w:rsidR="0071592D" w:rsidRDefault="0071592D" w:rsidP="008C6E7C">
      <w:pPr>
        <w:pStyle w:val="ListParagraph"/>
        <w:numPr>
          <w:ilvl w:val="0"/>
          <w:numId w:val="40"/>
        </w:numPr>
      </w:pPr>
      <w:r>
        <w:t>High fines (&gt;2% revenue) or extraterritorial reach.</w:t>
      </w:r>
    </w:p>
    <w:p w14:paraId="14140F3A" w14:textId="77777777" w:rsidR="0071592D" w:rsidRDefault="0071592D" w:rsidP="008C6E7C">
      <w:pPr>
        <w:pStyle w:val="ListParagraph"/>
        <w:numPr>
          <w:ilvl w:val="0"/>
          <w:numId w:val="40"/>
        </w:numPr>
      </w:pPr>
      <w:r>
        <w:t>Duplication &lt;30% of total infra budget; leverage tools like Terraform for multi-region provisioning.</w:t>
      </w:r>
    </w:p>
    <w:p w14:paraId="6098D7D8" w14:textId="77777777" w:rsidR="0071592D" w:rsidRDefault="0071592D" w:rsidP="008C6E7C">
      <w:pPr>
        <w:pStyle w:val="ListParagraph"/>
        <w:numPr>
          <w:ilvl w:val="0"/>
          <w:numId w:val="40"/>
        </w:numPr>
      </w:pPr>
      <w:r>
        <w:t>Critical for brand/reputation or long-term resilience.</w:t>
      </w:r>
    </w:p>
    <w:p w14:paraId="629D6703" w14:textId="77777777" w:rsidR="0071592D" w:rsidRDefault="0071592D" w:rsidP="008C6E7C">
      <w:pPr>
        <w:pStyle w:val="ListParagraph"/>
        <w:numPr>
          <w:ilvl w:val="0"/>
          <w:numId w:val="40"/>
        </w:numPr>
      </w:pPr>
      <w:r>
        <w:t>Positive NPV over 3–5 years (e.g., fines avoided &gt; setup costs).) </w:t>
      </w:r>
    </w:p>
    <w:p w14:paraId="4B85CD5C" w14:textId="77777777" w:rsidR="0071592D" w:rsidRPr="00486F8C" w:rsidRDefault="0071592D" w:rsidP="0071592D">
      <w:r>
        <w:t xml:space="preserve">What's interesting is that it forces us to think about cloud architecture not just in terms of performance and cost, but as a </w:t>
      </w:r>
      <w:r>
        <w:rPr>
          <w:u w:val="single"/>
        </w:rPr>
        <w:t>sociotechnical system</w:t>
      </w:r>
      <w:r>
        <w:t>. This is where legal, political, and engineering constraints are all first-class design requirements. But the architectural conversation doesn't end at Sovereign Cloud. We would be remiss to ignore cloud heritage and not discuss Private and Hybrid Cloud.</w:t>
      </w:r>
    </w:p>
    <w:p w14:paraId="39988E56" w14:textId="77777777" w:rsidR="0080095E" w:rsidRDefault="0080095E">
      <w:pPr>
        <w:rPr>
          <w:rFonts w:eastAsiaTheme="majorEastAsia" w:cstheme="majorBidi"/>
          <w:b/>
          <w:color w:val="0F4761" w:themeColor="accent1" w:themeShade="BF"/>
          <w:sz w:val="36"/>
          <w:szCs w:val="40"/>
        </w:rPr>
      </w:pPr>
      <w:r>
        <w:br w:type="page"/>
      </w:r>
    </w:p>
    <w:p w14:paraId="7342F33E" w14:textId="63CC8F0B" w:rsidR="000F40FB" w:rsidRDefault="000F40FB" w:rsidP="00F57F92">
      <w:pPr>
        <w:pStyle w:val="Heading1"/>
      </w:pPr>
      <w:bookmarkStart w:id="85" w:name="_Toc224031175"/>
      <w:r>
        <w:lastRenderedPageBreak/>
        <w:t>What Comes Next: Trusted AI</w:t>
      </w:r>
      <w:bookmarkEnd w:id="85"/>
    </w:p>
    <w:p w14:paraId="7342F33F" w14:textId="43C1AAA3" w:rsidR="000F40FB" w:rsidRDefault="000F40FB" w:rsidP="00F57F92">
      <w:r>
        <w:t xml:space="preserve">Sovereign AI, as described in this guide, establishes the foundation: a demonstrable, auditable, and legally defensible chain of control from mineral to model. It answers the question of </w:t>
      </w:r>
      <w:r>
        <w:rPr>
          <w:i/>
          <w:iCs/>
        </w:rPr>
        <w:t>who controls the infrastructure and under whose legal authority.</w:t>
      </w:r>
    </w:p>
    <w:p w14:paraId="7342F340" w14:textId="544D650C" w:rsidR="000F40FB" w:rsidRDefault="000F40FB" w:rsidP="00F57F92">
      <w:r>
        <w:t xml:space="preserve">The next evolution is </w:t>
      </w:r>
      <w:r>
        <w:rPr>
          <w:b/>
          <w:bCs/>
        </w:rPr>
        <w:t>Trusted AI</w:t>
      </w:r>
      <w:r>
        <w:t xml:space="preserve">—a broader discipline that encompasses not only jurisdictional control but model integrity, algorithmic fairness, explainability, and a data-protection-first posture at the application and inference layer. Where Sovereign AI </w:t>
      </w:r>
      <w:r w:rsidR="00111DCB">
        <w:t>asks,</w:t>
      </w:r>
      <w:r>
        <w:t xml:space="preserve"> “can we prove who controls this system?”, Trusted AI </w:t>
      </w:r>
      <w:r w:rsidR="00111DCB">
        <w:t>asks,</w:t>
      </w:r>
      <w:r>
        <w:t xml:space="preserve"> “can we prove the system itself behaves as intended, produces reliable outputs, and operates ethically within defined boundaries?”</w:t>
      </w:r>
    </w:p>
    <w:p w14:paraId="7342F341" w14:textId="03B5DE13" w:rsidR="000F40FB" w:rsidRDefault="000F40FB" w:rsidP="00F57F92">
      <w:r>
        <w:t>Trusted AI builds on the controls established in this guide—immutable audit trails, verified model provenance, data lineage documentation, and zero-trust access governance—and extends them into the domain of model governance: red-teaming, bias assessment, output validation, human-in-the-loop oversight for high-stakes decisions, and continuous assurance that deployed models remain aligned with their original intent.</w:t>
      </w:r>
    </w:p>
    <w:p w14:paraId="44DFAFEA" w14:textId="77777777" w:rsidR="00165E34" w:rsidRDefault="00165E34" w:rsidP="00165E34">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9"/>
        <w:gridCol w:w="3420"/>
        <w:gridCol w:w="3779"/>
      </w:tblGrid>
      <w:tr w:rsidR="00165E34" w14:paraId="3A4DFA71" w14:textId="77777777" w:rsidTr="00400676">
        <w:tc>
          <w:tcPr>
            <w:tcW w:w="215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546C7887" w14:textId="77777777" w:rsidR="00165E34" w:rsidRDefault="00165E34" w:rsidP="001D1A28">
            <w:r>
              <w:rPr>
                <w:b/>
                <w:bCs/>
                <w:color w:val="FFFFFF"/>
                <w:sz w:val="20"/>
                <w:szCs w:val="20"/>
              </w:rPr>
              <w:t>Dimension</w:t>
            </w:r>
          </w:p>
        </w:tc>
        <w:tc>
          <w:tcPr>
            <w:tcW w:w="3420"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6058A8AF" w14:textId="77777777" w:rsidR="00165E34" w:rsidRDefault="00165E34" w:rsidP="001D1A28">
            <w:r>
              <w:rPr>
                <w:b/>
                <w:bCs/>
                <w:color w:val="FFFFFF"/>
                <w:sz w:val="20"/>
                <w:szCs w:val="20"/>
              </w:rPr>
              <w:t>Sovereign AI (This Guide)</w:t>
            </w:r>
          </w:p>
        </w:tc>
        <w:tc>
          <w:tcPr>
            <w:tcW w:w="3779" w:type="dxa"/>
            <w:tcBorders>
              <w:top w:val="single" w:sz="1" w:space="0" w:color="1A4C8E"/>
              <w:left w:val="single" w:sz="1" w:space="0" w:color="1A4C8E"/>
              <w:bottom w:val="single" w:sz="1" w:space="0" w:color="1A4C8E"/>
              <w:right w:val="single" w:sz="1" w:space="0" w:color="1A4C8E"/>
            </w:tcBorders>
            <w:shd w:val="clear" w:color="auto" w:fill="0D1F3C"/>
            <w:tcMar>
              <w:top w:w="100" w:type="dxa"/>
              <w:left w:w="120" w:type="dxa"/>
              <w:bottom w:w="100" w:type="dxa"/>
              <w:right w:w="120" w:type="dxa"/>
            </w:tcMar>
          </w:tcPr>
          <w:p w14:paraId="444C3304" w14:textId="77777777" w:rsidR="00165E34" w:rsidRDefault="00165E34" w:rsidP="001D1A28">
            <w:r>
              <w:rPr>
                <w:b/>
                <w:bCs/>
                <w:color w:val="FFFFFF"/>
                <w:sz w:val="20"/>
                <w:szCs w:val="20"/>
              </w:rPr>
              <w:t>Trusted AI (Next Stage)</w:t>
            </w:r>
          </w:p>
        </w:tc>
      </w:tr>
      <w:tr w:rsidR="00165E34" w14:paraId="1DD381AB" w14:textId="77777777" w:rsidTr="00400676">
        <w:tc>
          <w:tcPr>
            <w:tcW w:w="215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C8DA0A8" w14:textId="77777777" w:rsidR="00165E34" w:rsidRDefault="00165E34" w:rsidP="001D1A28">
            <w:r>
              <w:rPr>
                <w:color w:val="333333"/>
                <w:sz w:val="20"/>
                <w:szCs w:val="20"/>
              </w:rPr>
              <w:t>Primary Question</w:t>
            </w:r>
          </w:p>
        </w:tc>
        <w:tc>
          <w:tcPr>
            <w:tcW w:w="342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4059448B" w14:textId="77777777" w:rsidR="00165E34" w:rsidRDefault="00165E34" w:rsidP="001D1A28">
            <w:r>
              <w:rPr>
                <w:color w:val="333333"/>
                <w:sz w:val="20"/>
                <w:szCs w:val="20"/>
              </w:rPr>
              <w:t>Who controls the infrastructure and under what legal authority?</w:t>
            </w:r>
          </w:p>
        </w:tc>
        <w:tc>
          <w:tcPr>
            <w:tcW w:w="377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3BA75779" w14:textId="77777777" w:rsidR="00165E34" w:rsidRDefault="00165E34" w:rsidP="001D1A28">
            <w:r>
              <w:rPr>
                <w:color w:val="333333"/>
                <w:sz w:val="20"/>
                <w:szCs w:val="20"/>
              </w:rPr>
              <w:t>Does the system behave as intended with reliable, ethical outputs?</w:t>
            </w:r>
          </w:p>
        </w:tc>
      </w:tr>
      <w:tr w:rsidR="00165E34" w14:paraId="2E114157" w14:textId="77777777" w:rsidTr="00400676">
        <w:tc>
          <w:tcPr>
            <w:tcW w:w="215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6224640" w14:textId="77777777" w:rsidR="00165E34" w:rsidRDefault="00165E34" w:rsidP="001D1A28">
            <w:r>
              <w:rPr>
                <w:color w:val="333333"/>
                <w:sz w:val="20"/>
                <w:szCs w:val="20"/>
              </w:rPr>
              <w:t>Focus</w:t>
            </w:r>
          </w:p>
        </w:tc>
        <w:tc>
          <w:tcPr>
            <w:tcW w:w="342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BEDE9E0" w14:textId="77777777" w:rsidR="00165E34" w:rsidRDefault="00165E34" w:rsidP="001D1A28">
            <w:r>
              <w:rPr>
                <w:color w:val="333333"/>
                <w:sz w:val="20"/>
                <w:szCs w:val="20"/>
              </w:rPr>
              <w:t>Jurisdiction, access control, supply chain</w:t>
            </w:r>
          </w:p>
        </w:tc>
        <w:tc>
          <w:tcPr>
            <w:tcW w:w="377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1323467" w14:textId="77777777" w:rsidR="00165E34" w:rsidRDefault="00165E34" w:rsidP="001D1A28">
            <w:r>
              <w:rPr>
                <w:color w:val="333333"/>
                <w:sz w:val="20"/>
                <w:szCs w:val="20"/>
              </w:rPr>
              <w:t>Model integrity, fairness, explainability, alignment</w:t>
            </w:r>
          </w:p>
        </w:tc>
      </w:tr>
      <w:tr w:rsidR="00165E34" w14:paraId="127D96AD" w14:textId="77777777" w:rsidTr="00400676">
        <w:tc>
          <w:tcPr>
            <w:tcW w:w="215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7046C10" w14:textId="77777777" w:rsidR="00165E34" w:rsidRDefault="00165E34" w:rsidP="001D1A28">
            <w:r>
              <w:rPr>
                <w:color w:val="333333"/>
                <w:sz w:val="20"/>
                <w:szCs w:val="20"/>
              </w:rPr>
              <w:t>Key Controls</w:t>
            </w:r>
          </w:p>
        </w:tc>
        <w:tc>
          <w:tcPr>
            <w:tcW w:w="342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2FB28A44" w14:textId="77777777" w:rsidR="00165E34" w:rsidRDefault="00165E34" w:rsidP="001D1A28">
            <w:r>
              <w:rPr>
                <w:color w:val="333333"/>
                <w:sz w:val="20"/>
                <w:szCs w:val="20"/>
              </w:rPr>
              <w:t>Hardware attestation, sovereign keys, immutable logs, Zero Trust</w:t>
            </w:r>
          </w:p>
        </w:tc>
        <w:tc>
          <w:tcPr>
            <w:tcW w:w="377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6F6F0E1E" w14:textId="77777777" w:rsidR="00165E34" w:rsidRDefault="00165E34" w:rsidP="001D1A28">
            <w:r>
              <w:rPr>
                <w:color w:val="333333"/>
                <w:sz w:val="20"/>
                <w:szCs w:val="20"/>
              </w:rPr>
              <w:t>Red teaming, bias assessment, output monitoring, human oversight</w:t>
            </w:r>
          </w:p>
        </w:tc>
      </w:tr>
      <w:tr w:rsidR="00165E34" w14:paraId="6B4FE96A" w14:textId="77777777" w:rsidTr="00400676">
        <w:tc>
          <w:tcPr>
            <w:tcW w:w="215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770A3566" w14:textId="77777777" w:rsidR="00165E34" w:rsidRDefault="00165E34" w:rsidP="001D1A28">
            <w:r>
              <w:rPr>
                <w:color w:val="333333"/>
                <w:sz w:val="20"/>
                <w:szCs w:val="20"/>
              </w:rPr>
              <w:t>Evidence Package</w:t>
            </w:r>
          </w:p>
        </w:tc>
        <w:tc>
          <w:tcPr>
            <w:tcW w:w="3420"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5DAF7FFE" w14:textId="77777777" w:rsidR="00165E34" w:rsidRDefault="00165E34" w:rsidP="001D1A28">
            <w:r>
              <w:rPr>
                <w:color w:val="333333"/>
                <w:sz w:val="20"/>
                <w:szCs w:val="20"/>
              </w:rPr>
              <w:t>Chain-of-custody documentation, access logs, audit certs</w:t>
            </w:r>
          </w:p>
        </w:tc>
        <w:tc>
          <w:tcPr>
            <w:tcW w:w="3779" w:type="dxa"/>
            <w:tcBorders>
              <w:top w:val="single" w:sz="1" w:space="0" w:color="D0D7E3"/>
              <w:left w:val="single" w:sz="1" w:space="0" w:color="D0D7E3"/>
              <w:bottom w:val="single" w:sz="1" w:space="0" w:color="D0D7E3"/>
              <w:right w:val="single" w:sz="1" w:space="0" w:color="D0D7E3"/>
            </w:tcBorders>
            <w:shd w:val="clear" w:color="auto" w:fill="F4F6FA"/>
            <w:tcMar>
              <w:top w:w="80" w:type="dxa"/>
              <w:left w:w="120" w:type="dxa"/>
              <w:bottom w:w="80" w:type="dxa"/>
              <w:right w:w="120" w:type="dxa"/>
            </w:tcMar>
          </w:tcPr>
          <w:p w14:paraId="30CE0984" w14:textId="77777777" w:rsidR="00165E34" w:rsidRDefault="00165E34" w:rsidP="001D1A28">
            <w:r>
              <w:rPr>
                <w:color w:val="333333"/>
                <w:sz w:val="20"/>
                <w:szCs w:val="20"/>
              </w:rPr>
              <w:t>Model cards, evaluation reports, explainability documentation</w:t>
            </w:r>
          </w:p>
        </w:tc>
      </w:tr>
      <w:tr w:rsidR="00165E34" w14:paraId="7F92231A" w14:textId="77777777" w:rsidTr="00400676">
        <w:tc>
          <w:tcPr>
            <w:tcW w:w="215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73BA66E4" w14:textId="77777777" w:rsidR="00165E34" w:rsidRDefault="00165E34" w:rsidP="001D1A28">
            <w:r>
              <w:rPr>
                <w:color w:val="333333"/>
                <w:sz w:val="20"/>
                <w:szCs w:val="20"/>
              </w:rPr>
              <w:t>Regulatory Drivers</w:t>
            </w:r>
          </w:p>
        </w:tc>
        <w:tc>
          <w:tcPr>
            <w:tcW w:w="3420"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510A1B82" w14:textId="77777777" w:rsidR="00165E34" w:rsidRDefault="00165E34" w:rsidP="001D1A28">
            <w:r>
              <w:rPr>
                <w:color w:val="333333"/>
                <w:sz w:val="20"/>
                <w:szCs w:val="20"/>
              </w:rPr>
              <w:t>GDPR, CLOUD Act, data localization laws</w:t>
            </w:r>
          </w:p>
        </w:tc>
        <w:tc>
          <w:tcPr>
            <w:tcW w:w="3779" w:type="dxa"/>
            <w:tcBorders>
              <w:top w:val="single" w:sz="1" w:space="0" w:color="D0D7E3"/>
              <w:left w:val="single" w:sz="1" w:space="0" w:color="D0D7E3"/>
              <w:bottom w:val="single" w:sz="1" w:space="0" w:color="D0D7E3"/>
              <w:right w:val="single" w:sz="1" w:space="0" w:color="D0D7E3"/>
            </w:tcBorders>
            <w:shd w:val="clear" w:color="auto" w:fill="FFFFFF"/>
            <w:tcMar>
              <w:top w:w="80" w:type="dxa"/>
              <w:left w:w="120" w:type="dxa"/>
              <w:bottom w:w="80" w:type="dxa"/>
              <w:right w:w="120" w:type="dxa"/>
            </w:tcMar>
          </w:tcPr>
          <w:p w14:paraId="0BCE2C9C" w14:textId="77777777" w:rsidR="00165E34" w:rsidRDefault="00165E34" w:rsidP="001D1A28">
            <w:r>
              <w:rPr>
                <w:color w:val="333333"/>
                <w:sz w:val="20"/>
                <w:szCs w:val="20"/>
              </w:rPr>
              <w:t>EU AI Act, sector-specific AI governance frameworks</w:t>
            </w:r>
          </w:p>
        </w:tc>
      </w:tr>
    </w:tbl>
    <w:p w14:paraId="245992C2" w14:textId="77777777" w:rsidR="00165E34" w:rsidRDefault="00165E34" w:rsidP="00165E34">
      <w:pPr>
        <w:spacing w:before="60"/>
      </w:pPr>
    </w:p>
    <w:p w14:paraId="11820AA9" w14:textId="1B5FEF20" w:rsidR="00165E34" w:rsidRDefault="00165E34" w:rsidP="00165E34">
      <w:pPr>
        <w:rPr>
          <w:color w:val="333333"/>
        </w:rPr>
      </w:pPr>
      <w:r>
        <w:rPr>
          <w:color w:val="333333"/>
        </w:rPr>
        <w:t>The objective, across both disciplines, is not perfect isolation but disciplined control: knowing where your AI systems run, who can access them, under which legal authority, that they behave as intended — and being able to prove all of it.</w:t>
      </w:r>
    </w:p>
    <w:p w14:paraId="1F964B1E" w14:textId="77777777" w:rsidR="0080095E" w:rsidRDefault="0080095E">
      <w:pPr>
        <w:rPr>
          <w:rFonts w:eastAsiaTheme="majorEastAsia" w:cstheme="majorBidi"/>
          <w:b/>
          <w:color w:val="0F4761" w:themeColor="accent1" w:themeShade="BF"/>
          <w:sz w:val="36"/>
          <w:szCs w:val="40"/>
        </w:rPr>
      </w:pPr>
      <w:bookmarkStart w:id="86" w:name="_Toc223908368"/>
      <w:r>
        <w:br w:type="page"/>
      </w:r>
    </w:p>
    <w:p w14:paraId="07F67BD2" w14:textId="1C951D6B" w:rsidR="00CD4129" w:rsidRDefault="00CD4129" w:rsidP="00CD4129">
      <w:pPr>
        <w:pStyle w:val="Heading1"/>
      </w:pPr>
      <w:bookmarkStart w:id="87" w:name="_Toc224031176"/>
      <w:r>
        <w:lastRenderedPageBreak/>
        <w:t>Appendix: Key Standards and Frameworks Reference</w:t>
      </w:r>
      <w:bookmarkEnd w:id="86"/>
      <w:bookmarkEnd w:id="87"/>
    </w:p>
    <w:p w14:paraId="15F8CFC1" w14:textId="77777777" w:rsidR="00CD4129" w:rsidRDefault="00CD4129" w:rsidP="00CD4129">
      <w:pPr>
        <w:spacing w:before="60"/>
      </w:pPr>
    </w:p>
    <w:p w14:paraId="0546D5E4" w14:textId="77777777" w:rsidR="00CD4129" w:rsidRDefault="00CD4129" w:rsidP="00CD4129">
      <w:pPr>
        <w:pStyle w:val="Heading3"/>
        <w:pBdr>
          <w:bottom w:val="single" w:sz="4" w:space="0" w:color="2B7BE8"/>
        </w:pBdr>
      </w:pPr>
      <w:bookmarkStart w:id="88" w:name="_Toc223908369"/>
      <w:bookmarkStart w:id="89" w:name="_Toc224031177"/>
      <w:r>
        <w:t>Supply Chain Risk Management</w:t>
      </w:r>
      <w:bookmarkEnd w:id="88"/>
      <w:bookmarkEnd w:id="89"/>
    </w:p>
    <w:p w14:paraId="098836D7"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NIST SP 800-161r1 </w:t>
      </w:r>
      <w:r>
        <w:rPr>
          <w:color w:val="333333"/>
        </w:rPr>
        <w:t>— Cybersecurity Supply Chain Risk Management Practices for Systems and Organizations (US federal standard)</w:t>
      </w:r>
    </w:p>
    <w:p w14:paraId="49AC939F"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ISO/IEC 27036 </w:t>
      </w:r>
      <w:r>
        <w:rPr>
          <w:color w:val="333333"/>
        </w:rPr>
        <w:t>— Supplier Relationships: Information security for supply chain management</w:t>
      </w:r>
    </w:p>
    <w:p w14:paraId="7CA81978"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DoD Trusted Foundry Program </w:t>
      </w:r>
      <w:r>
        <w:rPr>
          <w:color w:val="333333"/>
        </w:rPr>
        <w:t>— US government-backed chain-of-custody assurance for critical components</w:t>
      </w:r>
    </w:p>
    <w:p w14:paraId="57E60136" w14:textId="77777777" w:rsidR="00CD4129" w:rsidRDefault="00CD4129" w:rsidP="00CD4129">
      <w:pPr>
        <w:spacing w:before="60"/>
      </w:pPr>
    </w:p>
    <w:p w14:paraId="2DC94EC2" w14:textId="77777777" w:rsidR="00CD4129" w:rsidRDefault="00CD4129" w:rsidP="00CD4129">
      <w:pPr>
        <w:pStyle w:val="Heading3"/>
        <w:pBdr>
          <w:bottom w:val="single" w:sz="4" w:space="0" w:color="2B7BE8"/>
        </w:pBdr>
      </w:pPr>
      <w:bookmarkStart w:id="90" w:name="_Toc223908370"/>
      <w:bookmarkStart w:id="91" w:name="_Toc224031178"/>
      <w:r>
        <w:t>Data Center and Cloud Security</w:t>
      </w:r>
      <w:bookmarkEnd w:id="90"/>
      <w:bookmarkEnd w:id="91"/>
    </w:p>
    <w:p w14:paraId="1EDF2FA9" w14:textId="66452AD5" w:rsidR="00CD4129" w:rsidRDefault="00CD4129" w:rsidP="00CD4129">
      <w:pPr>
        <w:pStyle w:val="ListParagraph"/>
        <w:numPr>
          <w:ilvl w:val="0"/>
          <w:numId w:val="46"/>
        </w:numPr>
        <w:spacing w:before="60" w:after="60" w:line="240" w:lineRule="auto"/>
        <w:contextualSpacing w:val="0"/>
      </w:pPr>
      <w:r>
        <w:rPr>
          <w:b/>
          <w:bCs/>
          <w:color w:val="0D1F3C"/>
        </w:rPr>
        <w:t xml:space="preserve">ISO 27001 </w:t>
      </w:r>
      <w:r>
        <w:rPr>
          <w:color w:val="333333"/>
        </w:rPr>
        <w:t xml:space="preserve">— Information security management systems; widely accepted for sovereign data center </w:t>
      </w:r>
      <w:r w:rsidR="00111DCB">
        <w:rPr>
          <w:color w:val="333333"/>
        </w:rPr>
        <w:t>certification.</w:t>
      </w:r>
    </w:p>
    <w:p w14:paraId="73342F4C" w14:textId="00146259" w:rsidR="00CD4129" w:rsidRDefault="00CD4129" w:rsidP="00CD4129">
      <w:pPr>
        <w:pStyle w:val="ListParagraph"/>
        <w:numPr>
          <w:ilvl w:val="0"/>
          <w:numId w:val="46"/>
        </w:numPr>
        <w:spacing w:before="60" w:after="60" w:line="240" w:lineRule="auto"/>
        <w:contextualSpacing w:val="0"/>
      </w:pPr>
      <w:r>
        <w:rPr>
          <w:b/>
          <w:bCs/>
          <w:color w:val="0D1F3C"/>
        </w:rPr>
        <w:t xml:space="preserve">SOC 2 Type II </w:t>
      </w:r>
      <w:r>
        <w:rPr>
          <w:color w:val="333333"/>
        </w:rPr>
        <w:t xml:space="preserve">— Trust Services Criteria; required for cloud service provider </w:t>
      </w:r>
      <w:r w:rsidR="00111DCB">
        <w:rPr>
          <w:color w:val="333333"/>
        </w:rPr>
        <w:t>assessments.</w:t>
      </w:r>
    </w:p>
    <w:p w14:paraId="34076CB3"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NIST SP 800-53 </w:t>
      </w:r>
      <w:r>
        <w:rPr>
          <w:color w:val="333333"/>
        </w:rPr>
        <w:t>— Security and Privacy Controls for Information Systems and Organizations</w:t>
      </w:r>
    </w:p>
    <w:p w14:paraId="1BE1CCB2"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FedRAMP </w:t>
      </w:r>
      <w:r>
        <w:rPr>
          <w:color w:val="333333"/>
        </w:rPr>
        <w:t>(US), Cyber Essentials Plus (UK), IRAP (Australia) — government-specific cloud security frameworks</w:t>
      </w:r>
    </w:p>
    <w:p w14:paraId="40768EF2" w14:textId="77777777" w:rsidR="00CD4129" w:rsidRDefault="00CD4129" w:rsidP="00CD4129">
      <w:pPr>
        <w:spacing w:before="60"/>
      </w:pPr>
    </w:p>
    <w:p w14:paraId="1F56C24B" w14:textId="77777777" w:rsidR="00CD4129" w:rsidRDefault="00CD4129" w:rsidP="00CD4129">
      <w:pPr>
        <w:pStyle w:val="Heading3"/>
        <w:pBdr>
          <w:bottom w:val="single" w:sz="4" w:space="0" w:color="2B7BE8"/>
        </w:pBdr>
      </w:pPr>
      <w:bookmarkStart w:id="92" w:name="_Toc223908371"/>
      <w:bookmarkStart w:id="93" w:name="_Toc224031179"/>
      <w:r>
        <w:t>Cryptography</w:t>
      </w:r>
      <w:bookmarkEnd w:id="92"/>
      <w:bookmarkEnd w:id="93"/>
    </w:p>
    <w:p w14:paraId="5E686BB2" w14:textId="5FB9EA6B" w:rsidR="00CD4129" w:rsidRDefault="00CD4129" w:rsidP="00CD4129">
      <w:pPr>
        <w:pStyle w:val="ListParagraph"/>
        <w:numPr>
          <w:ilvl w:val="0"/>
          <w:numId w:val="46"/>
        </w:numPr>
        <w:spacing w:before="60" w:after="60" w:line="240" w:lineRule="auto"/>
        <w:contextualSpacing w:val="0"/>
      </w:pPr>
      <w:r>
        <w:rPr>
          <w:b/>
          <w:bCs/>
          <w:color w:val="0D1F3C"/>
        </w:rPr>
        <w:t xml:space="preserve">FIPS 140-3 </w:t>
      </w:r>
      <w:r>
        <w:rPr>
          <w:color w:val="333333"/>
        </w:rPr>
        <w:t xml:space="preserve">— Security Requirements for Cryptographic Modules; required for HSMs in US government </w:t>
      </w:r>
      <w:r w:rsidR="00111DCB">
        <w:rPr>
          <w:color w:val="333333"/>
        </w:rPr>
        <w:t>programs.</w:t>
      </w:r>
    </w:p>
    <w:p w14:paraId="66F86B32"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NIST PQC Standards (2024): </w:t>
      </w:r>
      <w:r>
        <w:rPr>
          <w:color w:val="333333"/>
        </w:rPr>
        <w:t>CRYSTALS-Kyber (ML-KEM) for key encapsulation; CRYSTALS-Dilithium (ML-DSA) for digital signatures</w:t>
      </w:r>
    </w:p>
    <w:p w14:paraId="63354DB4"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PKCS #11 </w:t>
      </w:r>
      <w:r>
        <w:rPr>
          <w:color w:val="333333"/>
        </w:rPr>
        <w:t>— Cryptographic Token Interface Standard; industry-standard API for HSM integration</w:t>
      </w:r>
    </w:p>
    <w:p w14:paraId="0EF2EBDA" w14:textId="77777777" w:rsidR="00CD4129" w:rsidRDefault="00CD4129" w:rsidP="00CD4129">
      <w:pPr>
        <w:spacing w:before="60"/>
      </w:pPr>
    </w:p>
    <w:p w14:paraId="184ECE88" w14:textId="77777777" w:rsidR="00CD4129" w:rsidRDefault="00CD4129" w:rsidP="00CD4129">
      <w:pPr>
        <w:pStyle w:val="Heading3"/>
        <w:pBdr>
          <w:bottom w:val="single" w:sz="4" w:space="0" w:color="2B7BE8"/>
        </w:pBdr>
      </w:pPr>
      <w:bookmarkStart w:id="94" w:name="_Toc223908372"/>
      <w:bookmarkStart w:id="95" w:name="_Toc224031180"/>
      <w:r>
        <w:t>AI Governance</w:t>
      </w:r>
      <w:bookmarkEnd w:id="94"/>
      <w:bookmarkEnd w:id="95"/>
    </w:p>
    <w:p w14:paraId="2256040F" w14:textId="404E7BE2" w:rsidR="00CD4129" w:rsidRDefault="00CD4129" w:rsidP="00CD4129">
      <w:pPr>
        <w:pStyle w:val="ListParagraph"/>
        <w:numPr>
          <w:ilvl w:val="0"/>
          <w:numId w:val="46"/>
        </w:numPr>
        <w:spacing w:before="60" w:after="60" w:line="240" w:lineRule="auto"/>
        <w:contextualSpacing w:val="0"/>
      </w:pPr>
      <w:r>
        <w:rPr>
          <w:b/>
          <w:bCs/>
          <w:color w:val="0D1F3C"/>
        </w:rPr>
        <w:t>EU AI Act (</w:t>
      </w:r>
      <w:r w:rsidR="00111DCB">
        <w:rPr>
          <w:b/>
          <w:bCs/>
          <w:color w:val="0D1F3C"/>
        </w:rPr>
        <w:t>2024)</w:t>
      </w:r>
      <w:r>
        <w:rPr>
          <w:color w:val="333333"/>
        </w:rPr>
        <w:t xml:space="preserve"> Risk-based regulation of AI systems with high-risk requirements for conformity assessment, transparency, and human oversight</w:t>
      </w:r>
    </w:p>
    <w:p w14:paraId="58E68652" w14:textId="7D766888" w:rsidR="00CD4129" w:rsidRDefault="00CD4129" w:rsidP="00CD4129">
      <w:pPr>
        <w:pStyle w:val="ListParagraph"/>
        <w:numPr>
          <w:ilvl w:val="0"/>
          <w:numId w:val="46"/>
        </w:numPr>
        <w:spacing w:before="60" w:after="60" w:line="240" w:lineRule="auto"/>
        <w:contextualSpacing w:val="0"/>
      </w:pPr>
      <w:r>
        <w:rPr>
          <w:b/>
          <w:bCs/>
          <w:color w:val="0D1F3C"/>
        </w:rPr>
        <w:t xml:space="preserve">NIST AI RMF (AI Risk Management </w:t>
      </w:r>
      <w:r w:rsidR="00111DCB">
        <w:rPr>
          <w:b/>
          <w:bCs/>
          <w:color w:val="0D1F3C"/>
        </w:rPr>
        <w:t>Framework)</w:t>
      </w:r>
      <w:r>
        <w:rPr>
          <w:color w:val="333333"/>
        </w:rPr>
        <w:t xml:space="preserve"> Framework for managing risks throughout the AI </w:t>
      </w:r>
      <w:r w:rsidR="00111DCB">
        <w:rPr>
          <w:color w:val="333333"/>
        </w:rPr>
        <w:t>lifecycle.</w:t>
      </w:r>
    </w:p>
    <w:p w14:paraId="1EBBCD96"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MITRE ATLAS </w:t>
      </w:r>
      <w:r>
        <w:rPr>
          <w:color w:val="333333"/>
        </w:rPr>
        <w:t>— Adversarial Threat Landscape for AI Systems; taxonomy of AI-specific attacks</w:t>
      </w:r>
    </w:p>
    <w:p w14:paraId="25CAA625" w14:textId="70C0281A" w:rsidR="00CD4129" w:rsidRDefault="00CD4129" w:rsidP="00CD4129">
      <w:pPr>
        <w:pStyle w:val="ListParagraph"/>
        <w:numPr>
          <w:ilvl w:val="0"/>
          <w:numId w:val="46"/>
        </w:numPr>
        <w:spacing w:before="60" w:after="60" w:line="240" w:lineRule="auto"/>
        <w:contextualSpacing w:val="0"/>
      </w:pPr>
      <w:r>
        <w:rPr>
          <w:b/>
          <w:bCs/>
          <w:color w:val="0D1F3C"/>
        </w:rPr>
        <w:t>SBOM Standards: SPDX (Linux Foundation), CycloneDX (</w:t>
      </w:r>
      <w:r w:rsidR="00111DCB">
        <w:rPr>
          <w:b/>
          <w:bCs/>
          <w:color w:val="0D1F3C"/>
        </w:rPr>
        <w:t>OWASP)</w:t>
      </w:r>
      <w:r>
        <w:rPr>
          <w:color w:val="333333"/>
        </w:rPr>
        <w:t xml:space="preserve"> Machine-readable Software Bill of Materials formats</w:t>
      </w:r>
    </w:p>
    <w:p w14:paraId="6A54AB30" w14:textId="77777777" w:rsidR="00CD4129" w:rsidRDefault="00CD4129" w:rsidP="00CD4129">
      <w:pPr>
        <w:spacing w:before="60"/>
      </w:pPr>
    </w:p>
    <w:p w14:paraId="4D3830CB" w14:textId="77777777" w:rsidR="00CD4129" w:rsidRDefault="00CD4129" w:rsidP="00CD4129">
      <w:pPr>
        <w:pStyle w:val="Heading3"/>
        <w:pBdr>
          <w:bottom w:val="single" w:sz="4" w:space="0" w:color="2B7BE8"/>
        </w:pBdr>
      </w:pPr>
      <w:bookmarkStart w:id="96" w:name="_Toc223908373"/>
      <w:bookmarkStart w:id="97" w:name="_Toc224031181"/>
      <w:r>
        <w:t>Hardware Attestation</w:t>
      </w:r>
      <w:bookmarkEnd w:id="96"/>
      <w:bookmarkEnd w:id="97"/>
    </w:p>
    <w:p w14:paraId="7FB4CC36"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TCG TPM 2.0 </w:t>
      </w:r>
      <w:r>
        <w:rPr>
          <w:color w:val="333333"/>
        </w:rPr>
        <w:t>— Trusted Platform Module specification; hardware root of trust</w:t>
      </w:r>
    </w:p>
    <w:p w14:paraId="560B261B" w14:textId="2C3307B5" w:rsidR="00CD4129" w:rsidRDefault="00CD4129" w:rsidP="00CD4129">
      <w:pPr>
        <w:pStyle w:val="ListParagraph"/>
        <w:numPr>
          <w:ilvl w:val="0"/>
          <w:numId w:val="46"/>
        </w:numPr>
        <w:spacing w:before="60" w:after="60" w:line="240" w:lineRule="auto"/>
        <w:contextualSpacing w:val="0"/>
      </w:pPr>
      <w:r>
        <w:rPr>
          <w:b/>
          <w:bCs/>
          <w:color w:val="0D1F3C"/>
        </w:rPr>
        <w:t xml:space="preserve">TCG DICE </w:t>
      </w:r>
      <w:r>
        <w:rPr>
          <w:color w:val="333333"/>
        </w:rPr>
        <w:t xml:space="preserve">(Device Identifier Composition </w:t>
      </w:r>
      <w:r w:rsidR="00111DCB">
        <w:rPr>
          <w:color w:val="333333"/>
        </w:rPr>
        <w:t>Engine)</w:t>
      </w:r>
      <w:r>
        <w:rPr>
          <w:color w:val="333333"/>
        </w:rPr>
        <w:t xml:space="preserve"> Layered attestation for IoT and server firmware</w:t>
      </w:r>
    </w:p>
    <w:p w14:paraId="04C1C8A2" w14:textId="77777777" w:rsidR="00CD4129" w:rsidRDefault="00CD4129" w:rsidP="00CD4129">
      <w:pPr>
        <w:pStyle w:val="ListParagraph"/>
        <w:numPr>
          <w:ilvl w:val="0"/>
          <w:numId w:val="46"/>
        </w:numPr>
        <w:spacing w:before="60" w:after="60" w:line="240" w:lineRule="auto"/>
        <w:contextualSpacing w:val="0"/>
      </w:pPr>
      <w:r>
        <w:rPr>
          <w:b/>
          <w:bCs/>
          <w:color w:val="0D1F3C"/>
        </w:rPr>
        <w:lastRenderedPageBreak/>
        <w:t xml:space="preserve">NVIDIA Hopper Confidential Computing </w:t>
      </w:r>
      <w:r>
        <w:rPr>
          <w:color w:val="333333"/>
        </w:rPr>
        <w:t>— H100/H200 hardware-enforced GPU attestation and trusted execution environments</w:t>
      </w:r>
    </w:p>
    <w:p w14:paraId="193A94C5"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AMD SEV-SNP </w:t>
      </w:r>
      <w:r>
        <w:rPr>
          <w:color w:val="333333"/>
        </w:rPr>
        <w:t>— Secure Encrypted Virtualization - Secure Nested Paging; VM isolation with cryptographic attestation</w:t>
      </w:r>
    </w:p>
    <w:p w14:paraId="7769F998" w14:textId="77777777" w:rsidR="00CD4129" w:rsidRDefault="00CD4129" w:rsidP="00CD4129">
      <w:pPr>
        <w:pStyle w:val="ListParagraph"/>
        <w:numPr>
          <w:ilvl w:val="0"/>
          <w:numId w:val="46"/>
        </w:numPr>
        <w:spacing w:before="60" w:after="60" w:line="240" w:lineRule="auto"/>
        <w:contextualSpacing w:val="0"/>
      </w:pPr>
      <w:r>
        <w:rPr>
          <w:b/>
          <w:bCs/>
          <w:color w:val="0D1F3C"/>
        </w:rPr>
        <w:t xml:space="preserve">Intel TDX </w:t>
      </w:r>
      <w:r>
        <w:rPr>
          <w:color w:val="333333"/>
        </w:rPr>
        <w:t>— Trust Domain Extensions; hardware-isolated confidential virtual machines</w:t>
      </w:r>
    </w:p>
    <w:p w14:paraId="3B0E0F4A" w14:textId="77777777" w:rsidR="003127A7" w:rsidRDefault="003127A7"/>
    <w:sectPr w:rsidR="003127A7" w:rsidSect="00065F0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9089" w14:textId="77777777" w:rsidR="005B5B35" w:rsidRDefault="005B5B35" w:rsidP="000C1372">
      <w:pPr>
        <w:spacing w:after="0" w:line="240" w:lineRule="auto"/>
      </w:pPr>
      <w:r>
        <w:separator/>
      </w:r>
    </w:p>
  </w:endnote>
  <w:endnote w:type="continuationSeparator" w:id="0">
    <w:p w14:paraId="581034A0" w14:textId="77777777" w:rsidR="005B5B35" w:rsidRDefault="005B5B35" w:rsidP="000C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993313"/>
      <w:docPartObj>
        <w:docPartGallery w:val="Page Numbers (Bottom of Page)"/>
        <w:docPartUnique/>
      </w:docPartObj>
    </w:sdtPr>
    <w:sdtEndPr>
      <w:rPr>
        <w:noProof/>
      </w:rPr>
    </w:sdtEndPr>
    <w:sdtContent>
      <w:p w14:paraId="38C35167" w14:textId="5F719F95" w:rsidR="006124AA" w:rsidRDefault="006124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D49FD" w14:textId="77777777" w:rsidR="000C1372" w:rsidRDefault="000C1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D5CE" w14:textId="77777777" w:rsidR="005B5B35" w:rsidRDefault="005B5B35" w:rsidP="000C1372">
      <w:pPr>
        <w:spacing w:after="0" w:line="240" w:lineRule="auto"/>
      </w:pPr>
      <w:r>
        <w:separator/>
      </w:r>
    </w:p>
  </w:footnote>
  <w:footnote w:type="continuationSeparator" w:id="0">
    <w:p w14:paraId="7537F5B7" w14:textId="77777777" w:rsidR="005B5B35" w:rsidRDefault="005B5B35" w:rsidP="000C1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529"/>
    <w:multiLevelType w:val="hybridMultilevel"/>
    <w:tmpl w:val="E702E29E"/>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17902"/>
    <w:multiLevelType w:val="hybridMultilevel"/>
    <w:tmpl w:val="03EA681C"/>
    <w:lvl w:ilvl="0" w:tplc="69008644">
      <w:start w:val="1"/>
      <w:numFmt w:val="bullet"/>
      <w:lvlText w:val="•"/>
      <w:lvlJc w:val="left"/>
      <w:pPr>
        <w:ind w:left="720" w:hanging="360"/>
      </w:pPr>
    </w:lvl>
    <w:lvl w:ilvl="1" w:tplc="8090927E">
      <w:start w:val="1"/>
      <w:numFmt w:val="bullet"/>
      <w:lvlText w:val="◦"/>
      <w:lvlJc w:val="left"/>
      <w:pPr>
        <w:ind w:left="1080" w:hanging="360"/>
      </w:pPr>
    </w:lvl>
    <w:lvl w:ilvl="2" w:tplc="8884AACC">
      <w:numFmt w:val="decimal"/>
      <w:lvlText w:val=""/>
      <w:lvlJc w:val="left"/>
    </w:lvl>
    <w:lvl w:ilvl="3" w:tplc="BF2438D0">
      <w:numFmt w:val="decimal"/>
      <w:lvlText w:val=""/>
      <w:lvlJc w:val="left"/>
    </w:lvl>
    <w:lvl w:ilvl="4" w:tplc="13DAD10C">
      <w:numFmt w:val="decimal"/>
      <w:lvlText w:val=""/>
      <w:lvlJc w:val="left"/>
    </w:lvl>
    <w:lvl w:ilvl="5" w:tplc="77B4CED8">
      <w:numFmt w:val="decimal"/>
      <w:lvlText w:val=""/>
      <w:lvlJc w:val="left"/>
    </w:lvl>
    <w:lvl w:ilvl="6" w:tplc="EEBEB368">
      <w:numFmt w:val="decimal"/>
      <w:lvlText w:val=""/>
      <w:lvlJc w:val="left"/>
    </w:lvl>
    <w:lvl w:ilvl="7" w:tplc="0E36A31E">
      <w:numFmt w:val="decimal"/>
      <w:lvlText w:val=""/>
      <w:lvlJc w:val="left"/>
    </w:lvl>
    <w:lvl w:ilvl="8" w:tplc="5D668088">
      <w:numFmt w:val="decimal"/>
      <w:lvlText w:val=""/>
      <w:lvlJc w:val="left"/>
    </w:lvl>
  </w:abstractNum>
  <w:abstractNum w:abstractNumId="2" w15:restartNumberingAfterBreak="0">
    <w:nsid w:val="0A754FD9"/>
    <w:multiLevelType w:val="hybridMultilevel"/>
    <w:tmpl w:val="E702E29E"/>
    <w:lvl w:ilvl="0" w:tplc="7FD0C9EE">
      <w:start w:val="1"/>
      <w:numFmt w:val="decimal"/>
      <w:lvlText w:val="%1."/>
      <w:lvlJc w:val="left"/>
      <w:pPr>
        <w:ind w:left="720" w:hanging="360"/>
      </w:pPr>
    </w:lvl>
    <w:lvl w:ilvl="1" w:tplc="5508916A">
      <w:numFmt w:val="decimal"/>
      <w:lvlText w:val=""/>
      <w:lvlJc w:val="left"/>
    </w:lvl>
    <w:lvl w:ilvl="2" w:tplc="F5F66ED4">
      <w:numFmt w:val="decimal"/>
      <w:lvlText w:val=""/>
      <w:lvlJc w:val="left"/>
    </w:lvl>
    <w:lvl w:ilvl="3" w:tplc="528E729A">
      <w:numFmt w:val="decimal"/>
      <w:lvlText w:val=""/>
      <w:lvlJc w:val="left"/>
    </w:lvl>
    <w:lvl w:ilvl="4" w:tplc="DD00C600">
      <w:numFmt w:val="decimal"/>
      <w:lvlText w:val=""/>
      <w:lvlJc w:val="left"/>
    </w:lvl>
    <w:lvl w:ilvl="5" w:tplc="9EE0929E">
      <w:numFmt w:val="decimal"/>
      <w:lvlText w:val=""/>
      <w:lvlJc w:val="left"/>
    </w:lvl>
    <w:lvl w:ilvl="6" w:tplc="52DA0914">
      <w:numFmt w:val="decimal"/>
      <w:lvlText w:val=""/>
      <w:lvlJc w:val="left"/>
    </w:lvl>
    <w:lvl w:ilvl="7" w:tplc="C0A067DE">
      <w:numFmt w:val="decimal"/>
      <w:lvlText w:val=""/>
      <w:lvlJc w:val="left"/>
    </w:lvl>
    <w:lvl w:ilvl="8" w:tplc="0F9A0268">
      <w:numFmt w:val="decimal"/>
      <w:lvlText w:val=""/>
      <w:lvlJc w:val="left"/>
    </w:lvl>
  </w:abstractNum>
  <w:abstractNum w:abstractNumId="3" w15:restartNumberingAfterBreak="0">
    <w:nsid w:val="0D005AFE"/>
    <w:multiLevelType w:val="multilevel"/>
    <w:tmpl w:val="38765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0374F"/>
    <w:multiLevelType w:val="hybridMultilevel"/>
    <w:tmpl w:val="FBB0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3D5B"/>
    <w:multiLevelType w:val="hybridMultilevel"/>
    <w:tmpl w:val="086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76202"/>
    <w:multiLevelType w:val="hybridMultilevel"/>
    <w:tmpl w:val="09AC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74A59"/>
    <w:multiLevelType w:val="hybridMultilevel"/>
    <w:tmpl w:val="E22E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B6C80"/>
    <w:multiLevelType w:val="hybridMultilevel"/>
    <w:tmpl w:val="700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4BFA"/>
    <w:multiLevelType w:val="hybridMultilevel"/>
    <w:tmpl w:val="098E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C1FC2"/>
    <w:multiLevelType w:val="hybridMultilevel"/>
    <w:tmpl w:val="015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5510F"/>
    <w:multiLevelType w:val="hybridMultilevel"/>
    <w:tmpl w:val="040E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4F69"/>
    <w:multiLevelType w:val="hybridMultilevel"/>
    <w:tmpl w:val="6D4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85759"/>
    <w:multiLevelType w:val="hybridMultilevel"/>
    <w:tmpl w:val="8B6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7053A"/>
    <w:multiLevelType w:val="hybridMultilevel"/>
    <w:tmpl w:val="4C0C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A66DF"/>
    <w:multiLevelType w:val="multilevel"/>
    <w:tmpl w:val="38765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975F9"/>
    <w:multiLevelType w:val="hybridMultilevel"/>
    <w:tmpl w:val="6460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63002"/>
    <w:multiLevelType w:val="hybridMultilevel"/>
    <w:tmpl w:val="EADC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9417A"/>
    <w:multiLevelType w:val="hybridMultilevel"/>
    <w:tmpl w:val="30CE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E55D4"/>
    <w:multiLevelType w:val="hybridMultilevel"/>
    <w:tmpl w:val="ED84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06244"/>
    <w:multiLevelType w:val="hybridMultilevel"/>
    <w:tmpl w:val="440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D1996"/>
    <w:multiLevelType w:val="hybridMultilevel"/>
    <w:tmpl w:val="93AE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6317B"/>
    <w:multiLevelType w:val="hybridMultilevel"/>
    <w:tmpl w:val="08C00048"/>
    <w:lvl w:ilvl="0" w:tplc="3580C3C2">
      <w:start w:val="1"/>
      <w:numFmt w:val="bullet"/>
      <w:lvlText w:val="•"/>
      <w:lvlJc w:val="left"/>
      <w:pPr>
        <w:ind w:left="720" w:hanging="360"/>
      </w:pPr>
    </w:lvl>
    <w:lvl w:ilvl="1" w:tplc="817E2E5E">
      <w:start w:val="1"/>
      <w:numFmt w:val="bullet"/>
      <w:lvlText w:val="◦"/>
      <w:lvlJc w:val="left"/>
      <w:pPr>
        <w:ind w:left="1080" w:hanging="360"/>
      </w:pPr>
    </w:lvl>
    <w:lvl w:ilvl="2" w:tplc="5C06A492">
      <w:numFmt w:val="decimal"/>
      <w:lvlText w:val=""/>
      <w:lvlJc w:val="left"/>
    </w:lvl>
    <w:lvl w:ilvl="3" w:tplc="FCC80D04">
      <w:numFmt w:val="decimal"/>
      <w:lvlText w:val=""/>
      <w:lvlJc w:val="left"/>
    </w:lvl>
    <w:lvl w:ilvl="4" w:tplc="A4468978">
      <w:numFmt w:val="decimal"/>
      <w:lvlText w:val=""/>
      <w:lvlJc w:val="left"/>
    </w:lvl>
    <w:lvl w:ilvl="5" w:tplc="5A48E010">
      <w:numFmt w:val="decimal"/>
      <w:lvlText w:val=""/>
      <w:lvlJc w:val="left"/>
    </w:lvl>
    <w:lvl w:ilvl="6" w:tplc="4E020934">
      <w:numFmt w:val="decimal"/>
      <w:lvlText w:val=""/>
      <w:lvlJc w:val="left"/>
    </w:lvl>
    <w:lvl w:ilvl="7" w:tplc="5A68BA88">
      <w:numFmt w:val="decimal"/>
      <w:lvlText w:val=""/>
      <w:lvlJc w:val="left"/>
    </w:lvl>
    <w:lvl w:ilvl="8" w:tplc="6A8AB2D0">
      <w:numFmt w:val="decimal"/>
      <w:lvlText w:val=""/>
      <w:lvlJc w:val="left"/>
    </w:lvl>
  </w:abstractNum>
  <w:abstractNum w:abstractNumId="23" w15:restartNumberingAfterBreak="0">
    <w:nsid w:val="3EAF03D1"/>
    <w:multiLevelType w:val="hybridMultilevel"/>
    <w:tmpl w:val="542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A397C"/>
    <w:multiLevelType w:val="hybridMultilevel"/>
    <w:tmpl w:val="F5E4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B4ED2"/>
    <w:multiLevelType w:val="hybridMultilevel"/>
    <w:tmpl w:val="026A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422FD"/>
    <w:multiLevelType w:val="multilevel"/>
    <w:tmpl w:val="FF1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D49FC"/>
    <w:multiLevelType w:val="hybridMultilevel"/>
    <w:tmpl w:val="0106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72A8D"/>
    <w:multiLevelType w:val="hybridMultilevel"/>
    <w:tmpl w:val="5E8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F66FF"/>
    <w:multiLevelType w:val="hybridMultilevel"/>
    <w:tmpl w:val="3BC8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4512C"/>
    <w:multiLevelType w:val="hybridMultilevel"/>
    <w:tmpl w:val="7AB2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41659"/>
    <w:multiLevelType w:val="multilevel"/>
    <w:tmpl w:val="38765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090C9A"/>
    <w:multiLevelType w:val="hybridMultilevel"/>
    <w:tmpl w:val="542E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E49AD"/>
    <w:multiLevelType w:val="hybridMultilevel"/>
    <w:tmpl w:val="7CE6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B18E1"/>
    <w:multiLevelType w:val="hybridMultilevel"/>
    <w:tmpl w:val="48D8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276AF"/>
    <w:multiLevelType w:val="hybridMultilevel"/>
    <w:tmpl w:val="C8D4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46B76"/>
    <w:multiLevelType w:val="hybridMultilevel"/>
    <w:tmpl w:val="A35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B03799"/>
    <w:multiLevelType w:val="multilevel"/>
    <w:tmpl w:val="38765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24590E"/>
    <w:multiLevelType w:val="hybridMultilevel"/>
    <w:tmpl w:val="8EF6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60C10"/>
    <w:multiLevelType w:val="hybridMultilevel"/>
    <w:tmpl w:val="FA1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11836"/>
    <w:multiLevelType w:val="hybridMultilevel"/>
    <w:tmpl w:val="1F82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56EB0"/>
    <w:multiLevelType w:val="hybridMultilevel"/>
    <w:tmpl w:val="6EB4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D78BE"/>
    <w:multiLevelType w:val="hybridMultilevel"/>
    <w:tmpl w:val="A4B6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356AC"/>
    <w:multiLevelType w:val="multilevel"/>
    <w:tmpl w:val="A55AE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AA56EA"/>
    <w:multiLevelType w:val="hybridMultilevel"/>
    <w:tmpl w:val="5262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4789D"/>
    <w:multiLevelType w:val="hybridMultilevel"/>
    <w:tmpl w:val="CF06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61B29"/>
    <w:multiLevelType w:val="hybridMultilevel"/>
    <w:tmpl w:val="57A4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168241">
    <w:abstractNumId w:val="26"/>
  </w:num>
  <w:num w:numId="2" w16cid:durableId="560405691">
    <w:abstractNumId w:val="41"/>
  </w:num>
  <w:num w:numId="3" w16cid:durableId="1846675983">
    <w:abstractNumId w:val="5"/>
  </w:num>
  <w:num w:numId="4" w16cid:durableId="1600717274">
    <w:abstractNumId w:val="23"/>
  </w:num>
  <w:num w:numId="5" w16cid:durableId="1307928995">
    <w:abstractNumId w:val="35"/>
  </w:num>
  <w:num w:numId="6" w16cid:durableId="1902205884">
    <w:abstractNumId w:val="6"/>
  </w:num>
  <w:num w:numId="7" w16cid:durableId="834106149">
    <w:abstractNumId w:val="16"/>
  </w:num>
  <w:num w:numId="8" w16cid:durableId="2050688236">
    <w:abstractNumId w:val="42"/>
  </w:num>
  <w:num w:numId="9" w16cid:durableId="1153444515">
    <w:abstractNumId w:val="45"/>
  </w:num>
  <w:num w:numId="10" w16cid:durableId="1625817408">
    <w:abstractNumId w:val="13"/>
  </w:num>
  <w:num w:numId="11" w16cid:durableId="1816296842">
    <w:abstractNumId w:val="33"/>
  </w:num>
  <w:num w:numId="12" w16cid:durableId="53894897">
    <w:abstractNumId w:val="46"/>
  </w:num>
  <w:num w:numId="13" w16cid:durableId="1059744785">
    <w:abstractNumId w:val="10"/>
  </w:num>
  <w:num w:numId="14" w16cid:durableId="1063143814">
    <w:abstractNumId w:val="28"/>
  </w:num>
  <w:num w:numId="15" w16cid:durableId="955792469">
    <w:abstractNumId w:val="29"/>
  </w:num>
  <w:num w:numId="16" w16cid:durableId="607933272">
    <w:abstractNumId w:val="11"/>
  </w:num>
  <w:num w:numId="17" w16cid:durableId="168953901">
    <w:abstractNumId w:val="27"/>
  </w:num>
  <w:num w:numId="18" w16cid:durableId="1632979876">
    <w:abstractNumId w:val="12"/>
  </w:num>
  <w:num w:numId="19" w16cid:durableId="1344746417">
    <w:abstractNumId w:val="32"/>
  </w:num>
  <w:num w:numId="20" w16cid:durableId="1325742639">
    <w:abstractNumId w:val="36"/>
  </w:num>
  <w:num w:numId="21" w16cid:durableId="327056510">
    <w:abstractNumId w:val="25"/>
  </w:num>
  <w:num w:numId="22" w16cid:durableId="85228870">
    <w:abstractNumId w:val="20"/>
  </w:num>
  <w:num w:numId="23" w16cid:durableId="1661735794">
    <w:abstractNumId w:val="9"/>
  </w:num>
  <w:num w:numId="24" w16cid:durableId="980887252">
    <w:abstractNumId w:val="30"/>
  </w:num>
  <w:num w:numId="25" w16cid:durableId="1539851295">
    <w:abstractNumId w:val="7"/>
  </w:num>
  <w:num w:numId="26" w16cid:durableId="424109387">
    <w:abstractNumId w:val="21"/>
  </w:num>
  <w:num w:numId="27" w16cid:durableId="1095706441">
    <w:abstractNumId w:val="38"/>
  </w:num>
  <w:num w:numId="28" w16cid:durableId="1851480707">
    <w:abstractNumId w:val="17"/>
  </w:num>
  <w:num w:numId="29" w16cid:durableId="1178346737">
    <w:abstractNumId w:val="44"/>
  </w:num>
  <w:num w:numId="30" w16cid:durableId="667098985">
    <w:abstractNumId w:val="19"/>
  </w:num>
  <w:num w:numId="31" w16cid:durableId="1077939121">
    <w:abstractNumId w:val="14"/>
  </w:num>
  <w:num w:numId="32" w16cid:durableId="264003966">
    <w:abstractNumId w:val="40"/>
  </w:num>
  <w:num w:numId="33" w16cid:durableId="85545029">
    <w:abstractNumId w:val="8"/>
  </w:num>
  <w:num w:numId="34" w16cid:durableId="347951602">
    <w:abstractNumId w:val="39"/>
  </w:num>
  <w:num w:numId="35" w16cid:durableId="919944737">
    <w:abstractNumId w:val="24"/>
  </w:num>
  <w:num w:numId="36" w16cid:durableId="1805197556">
    <w:abstractNumId w:val="34"/>
  </w:num>
  <w:num w:numId="37" w16cid:durableId="25180100">
    <w:abstractNumId w:val="4"/>
  </w:num>
  <w:num w:numId="38" w16cid:durableId="1585256867">
    <w:abstractNumId w:val="43"/>
  </w:num>
  <w:num w:numId="39" w16cid:durableId="1507592352">
    <w:abstractNumId w:val="3"/>
  </w:num>
  <w:num w:numId="40" w16cid:durableId="1557544240">
    <w:abstractNumId w:val="15"/>
  </w:num>
  <w:num w:numId="41" w16cid:durableId="1491556533">
    <w:abstractNumId w:val="31"/>
  </w:num>
  <w:num w:numId="42" w16cid:durableId="52778545">
    <w:abstractNumId w:val="37"/>
  </w:num>
  <w:num w:numId="43" w16cid:durableId="396786709">
    <w:abstractNumId w:val="2"/>
    <w:lvlOverride w:ilvl="0">
      <w:startOverride w:val="1"/>
    </w:lvlOverride>
  </w:num>
  <w:num w:numId="44" w16cid:durableId="1414626907">
    <w:abstractNumId w:val="18"/>
  </w:num>
  <w:num w:numId="45" w16cid:durableId="589969708">
    <w:abstractNumId w:val="0"/>
  </w:num>
  <w:num w:numId="46" w16cid:durableId="1850559058">
    <w:abstractNumId w:val="1"/>
    <w:lvlOverride w:ilvl="0">
      <w:startOverride w:val="1"/>
    </w:lvlOverride>
  </w:num>
  <w:num w:numId="47" w16cid:durableId="1643467178">
    <w:abstractNumId w:val="22"/>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oeG8ImkbA4rxJNkKoWLAuBdvbGKczNQQGiDOZGIbXROr1CnroucbDKICgySn+P1M2/M+H2BXZ8tsck99VSG1A==" w:salt="60DARGIzePBdp3fBfj8V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46"/>
    <w:rsid w:val="00004B26"/>
    <w:rsid w:val="00011A6C"/>
    <w:rsid w:val="000206A4"/>
    <w:rsid w:val="000244F6"/>
    <w:rsid w:val="00024A46"/>
    <w:rsid w:val="00025E32"/>
    <w:rsid w:val="00027709"/>
    <w:rsid w:val="0003001B"/>
    <w:rsid w:val="00030B75"/>
    <w:rsid w:val="00032393"/>
    <w:rsid w:val="000341F0"/>
    <w:rsid w:val="0003448A"/>
    <w:rsid w:val="00034CD4"/>
    <w:rsid w:val="00036520"/>
    <w:rsid w:val="00037F77"/>
    <w:rsid w:val="00042F5C"/>
    <w:rsid w:val="000454D7"/>
    <w:rsid w:val="0004646C"/>
    <w:rsid w:val="000464B9"/>
    <w:rsid w:val="000534A8"/>
    <w:rsid w:val="00053581"/>
    <w:rsid w:val="00054240"/>
    <w:rsid w:val="0005427B"/>
    <w:rsid w:val="00054FEB"/>
    <w:rsid w:val="00055416"/>
    <w:rsid w:val="00061067"/>
    <w:rsid w:val="00065F0F"/>
    <w:rsid w:val="00066AFE"/>
    <w:rsid w:val="00072D7B"/>
    <w:rsid w:val="00072E81"/>
    <w:rsid w:val="0007326F"/>
    <w:rsid w:val="0007391A"/>
    <w:rsid w:val="000742C9"/>
    <w:rsid w:val="00075280"/>
    <w:rsid w:val="00075CBE"/>
    <w:rsid w:val="000868C4"/>
    <w:rsid w:val="00090F03"/>
    <w:rsid w:val="00093E8E"/>
    <w:rsid w:val="00093F8F"/>
    <w:rsid w:val="0009721C"/>
    <w:rsid w:val="00097836"/>
    <w:rsid w:val="00097993"/>
    <w:rsid w:val="000A1A30"/>
    <w:rsid w:val="000A4ED1"/>
    <w:rsid w:val="000A52EF"/>
    <w:rsid w:val="000B21A9"/>
    <w:rsid w:val="000B26E1"/>
    <w:rsid w:val="000B6741"/>
    <w:rsid w:val="000B6A07"/>
    <w:rsid w:val="000B7447"/>
    <w:rsid w:val="000C08DC"/>
    <w:rsid w:val="000C1372"/>
    <w:rsid w:val="000C1F13"/>
    <w:rsid w:val="000C2B66"/>
    <w:rsid w:val="000C45E9"/>
    <w:rsid w:val="000C65C1"/>
    <w:rsid w:val="000C662C"/>
    <w:rsid w:val="000C68F6"/>
    <w:rsid w:val="000C79B2"/>
    <w:rsid w:val="000D043D"/>
    <w:rsid w:val="000D181B"/>
    <w:rsid w:val="000D199E"/>
    <w:rsid w:val="000D3063"/>
    <w:rsid w:val="000D3CF3"/>
    <w:rsid w:val="000E0E0F"/>
    <w:rsid w:val="000E351A"/>
    <w:rsid w:val="000E4C59"/>
    <w:rsid w:val="000E5226"/>
    <w:rsid w:val="000E76C2"/>
    <w:rsid w:val="000F0B81"/>
    <w:rsid w:val="000F2303"/>
    <w:rsid w:val="000F2C66"/>
    <w:rsid w:val="000F3230"/>
    <w:rsid w:val="000F3C73"/>
    <w:rsid w:val="000F3CE4"/>
    <w:rsid w:val="000F40FB"/>
    <w:rsid w:val="000F4B58"/>
    <w:rsid w:val="000F4F1B"/>
    <w:rsid w:val="000F55F4"/>
    <w:rsid w:val="000F7C1C"/>
    <w:rsid w:val="00101256"/>
    <w:rsid w:val="0010269C"/>
    <w:rsid w:val="00104272"/>
    <w:rsid w:val="00104595"/>
    <w:rsid w:val="0010725E"/>
    <w:rsid w:val="00111DCB"/>
    <w:rsid w:val="001166CD"/>
    <w:rsid w:val="001223AD"/>
    <w:rsid w:val="00122D91"/>
    <w:rsid w:val="00123552"/>
    <w:rsid w:val="00124924"/>
    <w:rsid w:val="00124A22"/>
    <w:rsid w:val="00130C69"/>
    <w:rsid w:val="001318A4"/>
    <w:rsid w:val="001333F0"/>
    <w:rsid w:val="00142CCE"/>
    <w:rsid w:val="001436EB"/>
    <w:rsid w:val="00143EC7"/>
    <w:rsid w:val="0014521E"/>
    <w:rsid w:val="001464DB"/>
    <w:rsid w:val="001473A2"/>
    <w:rsid w:val="00150303"/>
    <w:rsid w:val="00151051"/>
    <w:rsid w:val="00152F4A"/>
    <w:rsid w:val="001537BC"/>
    <w:rsid w:val="00154DD4"/>
    <w:rsid w:val="00164F36"/>
    <w:rsid w:val="00165E34"/>
    <w:rsid w:val="00165F71"/>
    <w:rsid w:val="0016650F"/>
    <w:rsid w:val="00166FA1"/>
    <w:rsid w:val="00167222"/>
    <w:rsid w:val="0016742E"/>
    <w:rsid w:val="00171405"/>
    <w:rsid w:val="00172CE8"/>
    <w:rsid w:val="001737AD"/>
    <w:rsid w:val="001752A8"/>
    <w:rsid w:val="001856D6"/>
    <w:rsid w:val="00185839"/>
    <w:rsid w:val="00186ADE"/>
    <w:rsid w:val="0019191D"/>
    <w:rsid w:val="001929DF"/>
    <w:rsid w:val="00192B7E"/>
    <w:rsid w:val="0019397C"/>
    <w:rsid w:val="001975E0"/>
    <w:rsid w:val="001A1CE8"/>
    <w:rsid w:val="001A25E0"/>
    <w:rsid w:val="001A3FD7"/>
    <w:rsid w:val="001B0837"/>
    <w:rsid w:val="001B12F8"/>
    <w:rsid w:val="001B212F"/>
    <w:rsid w:val="001B629C"/>
    <w:rsid w:val="001C072A"/>
    <w:rsid w:val="001C79FF"/>
    <w:rsid w:val="001D0C7E"/>
    <w:rsid w:val="001D1D58"/>
    <w:rsid w:val="001D31D4"/>
    <w:rsid w:val="001D4B34"/>
    <w:rsid w:val="001D76DC"/>
    <w:rsid w:val="001E0B9E"/>
    <w:rsid w:val="001E1C35"/>
    <w:rsid w:val="001E22E6"/>
    <w:rsid w:val="001E2855"/>
    <w:rsid w:val="001E37D9"/>
    <w:rsid w:val="001E504B"/>
    <w:rsid w:val="001E66C3"/>
    <w:rsid w:val="001F0424"/>
    <w:rsid w:val="001F1499"/>
    <w:rsid w:val="001F2081"/>
    <w:rsid w:val="001F3374"/>
    <w:rsid w:val="001F3AB3"/>
    <w:rsid w:val="00206F42"/>
    <w:rsid w:val="002070A2"/>
    <w:rsid w:val="0021012E"/>
    <w:rsid w:val="0021066C"/>
    <w:rsid w:val="0021124B"/>
    <w:rsid w:val="002142DC"/>
    <w:rsid w:val="00214E51"/>
    <w:rsid w:val="002164A6"/>
    <w:rsid w:val="00223146"/>
    <w:rsid w:val="00223CED"/>
    <w:rsid w:val="00225E5B"/>
    <w:rsid w:val="00230EF3"/>
    <w:rsid w:val="00231E16"/>
    <w:rsid w:val="00240A4C"/>
    <w:rsid w:val="00242541"/>
    <w:rsid w:val="00242F08"/>
    <w:rsid w:val="002448ED"/>
    <w:rsid w:val="00245ED1"/>
    <w:rsid w:val="002512F4"/>
    <w:rsid w:val="00251A79"/>
    <w:rsid w:val="00251C49"/>
    <w:rsid w:val="00252460"/>
    <w:rsid w:val="0025295F"/>
    <w:rsid w:val="0025334B"/>
    <w:rsid w:val="0025335D"/>
    <w:rsid w:val="00256FB5"/>
    <w:rsid w:val="002603D4"/>
    <w:rsid w:val="00262F4F"/>
    <w:rsid w:val="002662DE"/>
    <w:rsid w:val="00271F0E"/>
    <w:rsid w:val="0027384A"/>
    <w:rsid w:val="00274B90"/>
    <w:rsid w:val="002756F2"/>
    <w:rsid w:val="00280C52"/>
    <w:rsid w:val="00284908"/>
    <w:rsid w:val="00284BDA"/>
    <w:rsid w:val="00286988"/>
    <w:rsid w:val="002A0EDE"/>
    <w:rsid w:val="002A1C1E"/>
    <w:rsid w:val="002A3DFB"/>
    <w:rsid w:val="002A5AFC"/>
    <w:rsid w:val="002A7F58"/>
    <w:rsid w:val="002B0231"/>
    <w:rsid w:val="002B1C8A"/>
    <w:rsid w:val="002B2248"/>
    <w:rsid w:val="002B4688"/>
    <w:rsid w:val="002B4711"/>
    <w:rsid w:val="002B736A"/>
    <w:rsid w:val="002B7B49"/>
    <w:rsid w:val="002C0252"/>
    <w:rsid w:val="002C1554"/>
    <w:rsid w:val="002C3262"/>
    <w:rsid w:val="002C32FE"/>
    <w:rsid w:val="002C3568"/>
    <w:rsid w:val="002C6A65"/>
    <w:rsid w:val="002D3B00"/>
    <w:rsid w:val="002E012F"/>
    <w:rsid w:val="002E0712"/>
    <w:rsid w:val="002E3089"/>
    <w:rsid w:val="002E61FD"/>
    <w:rsid w:val="002E752E"/>
    <w:rsid w:val="002E7B49"/>
    <w:rsid w:val="002F095C"/>
    <w:rsid w:val="002F1831"/>
    <w:rsid w:val="002F3732"/>
    <w:rsid w:val="002F3C43"/>
    <w:rsid w:val="002F3E92"/>
    <w:rsid w:val="002F40C2"/>
    <w:rsid w:val="002F6480"/>
    <w:rsid w:val="00300554"/>
    <w:rsid w:val="00301D06"/>
    <w:rsid w:val="00303A21"/>
    <w:rsid w:val="00304DAA"/>
    <w:rsid w:val="003106EB"/>
    <w:rsid w:val="00310D4A"/>
    <w:rsid w:val="00311E09"/>
    <w:rsid w:val="003127A7"/>
    <w:rsid w:val="00313304"/>
    <w:rsid w:val="003135EA"/>
    <w:rsid w:val="00313B85"/>
    <w:rsid w:val="00313C2E"/>
    <w:rsid w:val="00321542"/>
    <w:rsid w:val="003226B6"/>
    <w:rsid w:val="00323B2D"/>
    <w:rsid w:val="00324B65"/>
    <w:rsid w:val="00330394"/>
    <w:rsid w:val="003304CE"/>
    <w:rsid w:val="0033226C"/>
    <w:rsid w:val="003342F7"/>
    <w:rsid w:val="00335FC8"/>
    <w:rsid w:val="003371C4"/>
    <w:rsid w:val="00340445"/>
    <w:rsid w:val="00344266"/>
    <w:rsid w:val="003449DC"/>
    <w:rsid w:val="00344FDD"/>
    <w:rsid w:val="003501BA"/>
    <w:rsid w:val="00351A64"/>
    <w:rsid w:val="00356CC0"/>
    <w:rsid w:val="00363DD0"/>
    <w:rsid w:val="00365144"/>
    <w:rsid w:val="00366203"/>
    <w:rsid w:val="00370B6E"/>
    <w:rsid w:val="003773D4"/>
    <w:rsid w:val="0038242D"/>
    <w:rsid w:val="0038473F"/>
    <w:rsid w:val="00395C0D"/>
    <w:rsid w:val="0039723E"/>
    <w:rsid w:val="003A01FD"/>
    <w:rsid w:val="003A0754"/>
    <w:rsid w:val="003A214C"/>
    <w:rsid w:val="003A51A6"/>
    <w:rsid w:val="003B5BB1"/>
    <w:rsid w:val="003B7405"/>
    <w:rsid w:val="003C04CF"/>
    <w:rsid w:val="003C0C60"/>
    <w:rsid w:val="003C3542"/>
    <w:rsid w:val="003C55FD"/>
    <w:rsid w:val="003C7ED8"/>
    <w:rsid w:val="003D5979"/>
    <w:rsid w:val="003E2232"/>
    <w:rsid w:val="003E50C1"/>
    <w:rsid w:val="003E649F"/>
    <w:rsid w:val="003E6B6A"/>
    <w:rsid w:val="003E77C0"/>
    <w:rsid w:val="003F1727"/>
    <w:rsid w:val="003F2249"/>
    <w:rsid w:val="003F23B7"/>
    <w:rsid w:val="003F2A16"/>
    <w:rsid w:val="003F56A1"/>
    <w:rsid w:val="003F62B2"/>
    <w:rsid w:val="003F6706"/>
    <w:rsid w:val="00400676"/>
    <w:rsid w:val="004013FE"/>
    <w:rsid w:val="00404673"/>
    <w:rsid w:val="004071C7"/>
    <w:rsid w:val="00410B7F"/>
    <w:rsid w:val="00413142"/>
    <w:rsid w:val="00414390"/>
    <w:rsid w:val="00421CD7"/>
    <w:rsid w:val="00422733"/>
    <w:rsid w:val="00423639"/>
    <w:rsid w:val="00424247"/>
    <w:rsid w:val="0042677F"/>
    <w:rsid w:val="0043162F"/>
    <w:rsid w:val="00432040"/>
    <w:rsid w:val="004330FC"/>
    <w:rsid w:val="00435DAE"/>
    <w:rsid w:val="0043733D"/>
    <w:rsid w:val="00437F08"/>
    <w:rsid w:val="00441AD1"/>
    <w:rsid w:val="00443582"/>
    <w:rsid w:val="00444A7B"/>
    <w:rsid w:val="00446644"/>
    <w:rsid w:val="00451EA5"/>
    <w:rsid w:val="004566C6"/>
    <w:rsid w:val="00456735"/>
    <w:rsid w:val="0045737E"/>
    <w:rsid w:val="00460BA6"/>
    <w:rsid w:val="00461624"/>
    <w:rsid w:val="00461EC7"/>
    <w:rsid w:val="00463FDB"/>
    <w:rsid w:val="00470E20"/>
    <w:rsid w:val="00471E59"/>
    <w:rsid w:val="00474C33"/>
    <w:rsid w:val="004752CD"/>
    <w:rsid w:val="004772CE"/>
    <w:rsid w:val="00480A8C"/>
    <w:rsid w:val="00481FA2"/>
    <w:rsid w:val="004823CD"/>
    <w:rsid w:val="00486C23"/>
    <w:rsid w:val="00486F8C"/>
    <w:rsid w:val="004912B8"/>
    <w:rsid w:val="00494D04"/>
    <w:rsid w:val="004A0A7B"/>
    <w:rsid w:val="004A3AF8"/>
    <w:rsid w:val="004A5D6B"/>
    <w:rsid w:val="004A63D3"/>
    <w:rsid w:val="004B221E"/>
    <w:rsid w:val="004B4456"/>
    <w:rsid w:val="004B44FE"/>
    <w:rsid w:val="004B7D3E"/>
    <w:rsid w:val="004B7E23"/>
    <w:rsid w:val="004C1DD8"/>
    <w:rsid w:val="004C30A8"/>
    <w:rsid w:val="004C78D4"/>
    <w:rsid w:val="004C7B6F"/>
    <w:rsid w:val="004D3598"/>
    <w:rsid w:val="004D4D52"/>
    <w:rsid w:val="004D5D2F"/>
    <w:rsid w:val="004D5D4E"/>
    <w:rsid w:val="004D735D"/>
    <w:rsid w:val="004E0FE9"/>
    <w:rsid w:val="004E1718"/>
    <w:rsid w:val="004E4383"/>
    <w:rsid w:val="004E4D2F"/>
    <w:rsid w:val="004E726F"/>
    <w:rsid w:val="004F0E77"/>
    <w:rsid w:val="004F0FA2"/>
    <w:rsid w:val="004F5C63"/>
    <w:rsid w:val="005012E2"/>
    <w:rsid w:val="005014A4"/>
    <w:rsid w:val="00503174"/>
    <w:rsid w:val="0050595C"/>
    <w:rsid w:val="0051120B"/>
    <w:rsid w:val="00511A9F"/>
    <w:rsid w:val="00513B1A"/>
    <w:rsid w:val="00514102"/>
    <w:rsid w:val="005148E4"/>
    <w:rsid w:val="00515DB3"/>
    <w:rsid w:val="00516A92"/>
    <w:rsid w:val="00516B28"/>
    <w:rsid w:val="00516FC9"/>
    <w:rsid w:val="00517FEA"/>
    <w:rsid w:val="00520AB2"/>
    <w:rsid w:val="00521BE1"/>
    <w:rsid w:val="00522CAE"/>
    <w:rsid w:val="00523566"/>
    <w:rsid w:val="00525357"/>
    <w:rsid w:val="005273C3"/>
    <w:rsid w:val="0052764E"/>
    <w:rsid w:val="00527963"/>
    <w:rsid w:val="00531C63"/>
    <w:rsid w:val="005337DE"/>
    <w:rsid w:val="005340C2"/>
    <w:rsid w:val="005348A7"/>
    <w:rsid w:val="0053555E"/>
    <w:rsid w:val="00537281"/>
    <w:rsid w:val="00540585"/>
    <w:rsid w:val="00543EBA"/>
    <w:rsid w:val="00544CE7"/>
    <w:rsid w:val="00554599"/>
    <w:rsid w:val="00554BFB"/>
    <w:rsid w:val="00560EC4"/>
    <w:rsid w:val="0056219D"/>
    <w:rsid w:val="00563A4B"/>
    <w:rsid w:val="00566457"/>
    <w:rsid w:val="00566A2C"/>
    <w:rsid w:val="00570255"/>
    <w:rsid w:val="00570493"/>
    <w:rsid w:val="00581ECE"/>
    <w:rsid w:val="005826C3"/>
    <w:rsid w:val="00584944"/>
    <w:rsid w:val="00587CB4"/>
    <w:rsid w:val="00587CD0"/>
    <w:rsid w:val="00593447"/>
    <w:rsid w:val="005934D2"/>
    <w:rsid w:val="00594063"/>
    <w:rsid w:val="00594A09"/>
    <w:rsid w:val="00595954"/>
    <w:rsid w:val="005979F2"/>
    <w:rsid w:val="005A12E0"/>
    <w:rsid w:val="005A2DF6"/>
    <w:rsid w:val="005A53AC"/>
    <w:rsid w:val="005A5B36"/>
    <w:rsid w:val="005B1259"/>
    <w:rsid w:val="005B2A4D"/>
    <w:rsid w:val="005B2DB0"/>
    <w:rsid w:val="005B350D"/>
    <w:rsid w:val="005B446A"/>
    <w:rsid w:val="005B4DFC"/>
    <w:rsid w:val="005B52A4"/>
    <w:rsid w:val="005B5B35"/>
    <w:rsid w:val="005B7A3C"/>
    <w:rsid w:val="005C50A5"/>
    <w:rsid w:val="005C6957"/>
    <w:rsid w:val="005D1A03"/>
    <w:rsid w:val="005D1D56"/>
    <w:rsid w:val="005D5B5E"/>
    <w:rsid w:val="005D62DA"/>
    <w:rsid w:val="005D7E93"/>
    <w:rsid w:val="005E723E"/>
    <w:rsid w:val="005E7ECF"/>
    <w:rsid w:val="005F05E9"/>
    <w:rsid w:val="005F3F3C"/>
    <w:rsid w:val="005F4A21"/>
    <w:rsid w:val="005F5A7B"/>
    <w:rsid w:val="005F7E58"/>
    <w:rsid w:val="00610DA8"/>
    <w:rsid w:val="006124AA"/>
    <w:rsid w:val="00612EF2"/>
    <w:rsid w:val="00613AC8"/>
    <w:rsid w:val="00621232"/>
    <w:rsid w:val="00626F78"/>
    <w:rsid w:val="00637878"/>
    <w:rsid w:val="00642D6D"/>
    <w:rsid w:val="00645995"/>
    <w:rsid w:val="006501FF"/>
    <w:rsid w:val="00653D02"/>
    <w:rsid w:val="00657602"/>
    <w:rsid w:val="00657B93"/>
    <w:rsid w:val="00657BCC"/>
    <w:rsid w:val="006623B5"/>
    <w:rsid w:val="00662BB5"/>
    <w:rsid w:val="00664A30"/>
    <w:rsid w:val="00664FF0"/>
    <w:rsid w:val="00670315"/>
    <w:rsid w:val="00671248"/>
    <w:rsid w:val="00671B8E"/>
    <w:rsid w:val="00674684"/>
    <w:rsid w:val="006756F8"/>
    <w:rsid w:val="0068051A"/>
    <w:rsid w:val="00685C76"/>
    <w:rsid w:val="00686C67"/>
    <w:rsid w:val="006905FD"/>
    <w:rsid w:val="00691D27"/>
    <w:rsid w:val="006A05B3"/>
    <w:rsid w:val="006A3763"/>
    <w:rsid w:val="006A6B20"/>
    <w:rsid w:val="006B112F"/>
    <w:rsid w:val="006B1962"/>
    <w:rsid w:val="006B54B9"/>
    <w:rsid w:val="006C05FF"/>
    <w:rsid w:val="006C1B70"/>
    <w:rsid w:val="006C1CE3"/>
    <w:rsid w:val="006C1D84"/>
    <w:rsid w:val="006C4F75"/>
    <w:rsid w:val="006C7F22"/>
    <w:rsid w:val="006D12D1"/>
    <w:rsid w:val="006D1DFB"/>
    <w:rsid w:val="006D30AC"/>
    <w:rsid w:val="006D3D22"/>
    <w:rsid w:val="006D4516"/>
    <w:rsid w:val="006D4C4C"/>
    <w:rsid w:val="006D4D81"/>
    <w:rsid w:val="006D5FFE"/>
    <w:rsid w:val="006D6216"/>
    <w:rsid w:val="006E3172"/>
    <w:rsid w:val="006E3D69"/>
    <w:rsid w:val="006E4EA1"/>
    <w:rsid w:val="006E60FF"/>
    <w:rsid w:val="006E7D4F"/>
    <w:rsid w:val="006F3A64"/>
    <w:rsid w:val="006F4026"/>
    <w:rsid w:val="006F6F7B"/>
    <w:rsid w:val="007020CF"/>
    <w:rsid w:val="00702683"/>
    <w:rsid w:val="00703F0C"/>
    <w:rsid w:val="0070742F"/>
    <w:rsid w:val="0071592D"/>
    <w:rsid w:val="0071606B"/>
    <w:rsid w:val="00717CA0"/>
    <w:rsid w:val="0072044B"/>
    <w:rsid w:val="00721095"/>
    <w:rsid w:val="007215EF"/>
    <w:rsid w:val="007234B0"/>
    <w:rsid w:val="0072352B"/>
    <w:rsid w:val="00725670"/>
    <w:rsid w:val="00726BCE"/>
    <w:rsid w:val="00732642"/>
    <w:rsid w:val="0073615A"/>
    <w:rsid w:val="00736ACF"/>
    <w:rsid w:val="00737C2C"/>
    <w:rsid w:val="00741601"/>
    <w:rsid w:val="00746463"/>
    <w:rsid w:val="00747A49"/>
    <w:rsid w:val="007503BA"/>
    <w:rsid w:val="00750591"/>
    <w:rsid w:val="00762ED5"/>
    <w:rsid w:val="0077095F"/>
    <w:rsid w:val="0077215F"/>
    <w:rsid w:val="00776B0B"/>
    <w:rsid w:val="00780EE0"/>
    <w:rsid w:val="00781654"/>
    <w:rsid w:val="00784228"/>
    <w:rsid w:val="007854C4"/>
    <w:rsid w:val="00786BCB"/>
    <w:rsid w:val="007874F4"/>
    <w:rsid w:val="00794FA6"/>
    <w:rsid w:val="007971FB"/>
    <w:rsid w:val="007A07BF"/>
    <w:rsid w:val="007A0D96"/>
    <w:rsid w:val="007A490F"/>
    <w:rsid w:val="007A4F06"/>
    <w:rsid w:val="007A659B"/>
    <w:rsid w:val="007A6F39"/>
    <w:rsid w:val="007A729E"/>
    <w:rsid w:val="007A7690"/>
    <w:rsid w:val="007B1D57"/>
    <w:rsid w:val="007B668C"/>
    <w:rsid w:val="007B7657"/>
    <w:rsid w:val="007C05FE"/>
    <w:rsid w:val="007D666A"/>
    <w:rsid w:val="007D66E7"/>
    <w:rsid w:val="007E03FD"/>
    <w:rsid w:val="007E075B"/>
    <w:rsid w:val="007E4E2B"/>
    <w:rsid w:val="007F06F4"/>
    <w:rsid w:val="007F4BCD"/>
    <w:rsid w:val="007F756A"/>
    <w:rsid w:val="007F7BBF"/>
    <w:rsid w:val="0080095E"/>
    <w:rsid w:val="00800D5A"/>
    <w:rsid w:val="00801FAF"/>
    <w:rsid w:val="00807F3F"/>
    <w:rsid w:val="00810A46"/>
    <w:rsid w:val="00810B57"/>
    <w:rsid w:val="008124F3"/>
    <w:rsid w:val="00814040"/>
    <w:rsid w:val="00816554"/>
    <w:rsid w:val="00820EAD"/>
    <w:rsid w:val="008212A9"/>
    <w:rsid w:val="00822790"/>
    <w:rsid w:val="00827934"/>
    <w:rsid w:val="008309AB"/>
    <w:rsid w:val="00832C38"/>
    <w:rsid w:val="008342E9"/>
    <w:rsid w:val="00835B99"/>
    <w:rsid w:val="00835D2F"/>
    <w:rsid w:val="00836750"/>
    <w:rsid w:val="00836A99"/>
    <w:rsid w:val="00837644"/>
    <w:rsid w:val="008419D9"/>
    <w:rsid w:val="00843269"/>
    <w:rsid w:val="00843F76"/>
    <w:rsid w:val="00844549"/>
    <w:rsid w:val="0084702D"/>
    <w:rsid w:val="00852CEB"/>
    <w:rsid w:val="008568CC"/>
    <w:rsid w:val="0086016B"/>
    <w:rsid w:val="00860C04"/>
    <w:rsid w:val="00861C4F"/>
    <w:rsid w:val="0086695C"/>
    <w:rsid w:val="00871FB4"/>
    <w:rsid w:val="00880623"/>
    <w:rsid w:val="0088154C"/>
    <w:rsid w:val="008824F6"/>
    <w:rsid w:val="00883104"/>
    <w:rsid w:val="00885F8D"/>
    <w:rsid w:val="00886352"/>
    <w:rsid w:val="00887C8C"/>
    <w:rsid w:val="00890C61"/>
    <w:rsid w:val="00890F35"/>
    <w:rsid w:val="00891407"/>
    <w:rsid w:val="0089348A"/>
    <w:rsid w:val="00894025"/>
    <w:rsid w:val="00894E9A"/>
    <w:rsid w:val="00897C2F"/>
    <w:rsid w:val="008A0DDC"/>
    <w:rsid w:val="008A1215"/>
    <w:rsid w:val="008A46D6"/>
    <w:rsid w:val="008A470A"/>
    <w:rsid w:val="008A49E3"/>
    <w:rsid w:val="008A6171"/>
    <w:rsid w:val="008B6E66"/>
    <w:rsid w:val="008B73C1"/>
    <w:rsid w:val="008C1A0E"/>
    <w:rsid w:val="008C2FD7"/>
    <w:rsid w:val="008C3226"/>
    <w:rsid w:val="008C4D18"/>
    <w:rsid w:val="008C6B09"/>
    <w:rsid w:val="008C6E7C"/>
    <w:rsid w:val="008C6E85"/>
    <w:rsid w:val="008D0310"/>
    <w:rsid w:val="008D3195"/>
    <w:rsid w:val="008D396F"/>
    <w:rsid w:val="008D72ED"/>
    <w:rsid w:val="008E39D9"/>
    <w:rsid w:val="008E3EB6"/>
    <w:rsid w:val="008E5F9D"/>
    <w:rsid w:val="008F2DF5"/>
    <w:rsid w:val="008F5FC7"/>
    <w:rsid w:val="008F60A3"/>
    <w:rsid w:val="009023B4"/>
    <w:rsid w:val="00904A7B"/>
    <w:rsid w:val="00904B44"/>
    <w:rsid w:val="00910545"/>
    <w:rsid w:val="00910917"/>
    <w:rsid w:val="00912D3D"/>
    <w:rsid w:val="00912D6A"/>
    <w:rsid w:val="00913DA6"/>
    <w:rsid w:val="00914ECA"/>
    <w:rsid w:val="00915902"/>
    <w:rsid w:val="00916472"/>
    <w:rsid w:val="009178B8"/>
    <w:rsid w:val="00922EFE"/>
    <w:rsid w:val="0092325E"/>
    <w:rsid w:val="00925378"/>
    <w:rsid w:val="00926A73"/>
    <w:rsid w:val="009270A9"/>
    <w:rsid w:val="00934A0F"/>
    <w:rsid w:val="009406B7"/>
    <w:rsid w:val="00941A16"/>
    <w:rsid w:val="009437C8"/>
    <w:rsid w:val="00943F90"/>
    <w:rsid w:val="009512A8"/>
    <w:rsid w:val="00951B9D"/>
    <w:rsid w:val="00956122"/>
    <w:rsid w:val="0095745B"/>
    <w:rsid w:val="00960834"/>
    <w:rsid w:val="00964A18"/>
    <w:rsid w:val="009661B3"/>
    <w:rsid w:val="00966BBA"/>
    <w:rsid w:val="0097209C"/>
    <w:rsid w:val="00973BA3"/>
    <w:rsid w:val="00984D77"/>
    <w:rsid w:val="009866C3"/>
    <w:rsid w:val="00987427"/>
    <w:rsid w:val="00990EF2"/>
    <w:rsid w:val="00991EF1"/>
    <w:rsid w:val="009927A4"/>
    <w:rsid w:val="00992B14"/>
    <w:rsid w:val="0099420F"/>
    <w:rsid w:val="00995D87"/>
    <w:rsid w:val="009A5971"/>
    <w:rsid w:val="009A6443"/>
    <w:rsid w:val="009A6A99"/>
    <w:rsid w:val="009B4249"/>
    <w:rsid w:val="009B428A"/>
    <w:rsid w:val="009B48A0"/>
    <w:rsid w:val="009B7B5F"/>
    <w:rsid w:val="009C1D3B"/>
    <w:rsid w:val="009C68FB"/>
    <w:rsid w:val="009C7751"/>
    <w:rsid w:val="009D08B3"/>
    <w:rsid w:val="009D6C74"/>
    <w:rsid w:val="009E0BB9"/>
    <w:rsid w:val="009E4B92"/>
    <w:rsid w:val="009E4E66"/>
    <w:rsid w:val="009E5185"/>
    <w:rsid w:val="009E605A"/>
    <w:rsid w:val="009E77CD"/>
    <w:rsid w:val="009E7B8D"/>
    <w:rsid w:val="009F282D"/>
    <w:rsid w:val="009F2869"/>
    <w:rsid w:val="009F43F4"/>
    <w:rsid w:val="009F4EB5"/>
    <w:rsid w:val="009F6B10"/>
    <w:rsid w:val="009F7BC8"/>
    <w:rsid w:val="00A020BF"/>
    <w:rsid w:val="00A12FF9"/>
    <w:rsid w:val="00A159EA"/>
    <w:rsid w:val="00A15BBB"/>
    <w:rsid w:val="00A169E7"/>
    <w:rsid w:val="00A17D00"/>
    <w:rsid w:val="00A217F3"/>
    <w:rsid w:val="00A265FA"/>
    <w:rsid w:val="00A274B2"/>
    <w:rsid w:val="00A32318"/>
    <w:rsid w:val="00A3232B"/>
    <w:rsid w:val="00A32A44"/>
    <w:rsid w:val="00A354B6"/>
    <w:rsid w:val="00A35C47"/>
    <w:rsid w:val="00A42E57"/>
    <w:rsid w:val="00A47315"/>
    <w:rsid w:val="00A4747D"/>
    <w:rsid w:val="00A47502"/>
    <w:rsid w:val="00A50E7C"/>
    <w:rsid w:val="00A51AD1"/>
    <w:rsid w:val="00A52B94"/>
    <w:rsid w:val="00A54D72"/>
    <w:rsid w:val="00A56597"/>
    <w:rsid w:val="00A56679"/>
    <w:rsid w:val="00A56873"/>
    <w:rsid w:val="00A60542"/>
    <w:rsid w:val="00A63D6D"/>
    <w:rsid w:val="00A648EC"/>
    <w:rsid w:val="00A65F25"/>
    <w:rsid w:val="00A673ED"/>
    <w:rsid w:val="00A705C9"/>
    <w:rsid w:val="00A71420"/>
    <w:rsid w:val="00A73CE3"/>
    <w:rsid w:val="00A73E51"/>
    <w:rsid w:val="00A77964"/>
    <w:rsid w:val="00A8009D"/>
    <w:rsid w:val="00A82577"/>
    <w:rsid w:val="00A836A1"/>
    <w:rsid w:val="00A839C1"/>
    <w:rsid w:val="00A90C77"/>
    <w:rsid w:val="00A918B5"/>
    <w:rsid w:val="00A960ED"/>
    <w:rsid w:val="00A976AD"/>
    <w:rsid w:val="00A979AD"/>
    <w:rsid w:val="00AA43E0"/>
    <w:rsid w:val="00AB0619"/>
    <w:rsid w:val="00AB0D0B"/>
    <w:rsid w:val="00AB2B69"/>
    <w:rsid w:val="00AB362D"/>
    <w:rsid w:val="00AB3654"/>
    <w:rsid w:val="00AB3C24"/>
    <w:rsid w:val="00AB3C54"/>
    <w:rsid w:val="00AB6813"/>
    <w:rsid w:val="00AC1518"/>
    <w:rsid w:val="00AC2148"/>
    <w:rsid w:val="00AC2601"/>
    <w:rsid w:val="00AC5048"/>
    <w:rsid w:val="00AC5BDE"/>
    <w:rsid w:val="00AC5D9D"/>
    <w:rsid w:val="00AD1038"/>
    <w:rsid w:val="00AD2C73"/>
    <w:rsid w:val="00AD539D"/>
    <w:rsid w:val="00AD594A"/>
    <w:rsid w:val="00AD5E50"/>
    <w:rsid w:val="00AD68F4"/>
    <w:rsid w:val="00AD71DC"/>
    <w:rsid w:val="00AD7679"/>
    <w:rsid w:val="00AE0494"/>
    <w:rsid w:val="00AE3839"/>
    <w:rsid w:val="00AE5000"/>
    <w:rsid w:val="00AE5443"/>
    <w:rsid w:val="00AF0E3F"/>
    <w:rsid w:val="00AF5334"/>
    <w:rsid w:val="00AF5E26"/>
    <w:rsid w:val="00AF73C8"/>
    <w:rsid w:val="00AF79B0"/>
    <w:rsid w:val="00AF79EF"/>
    <w:rsid w:val="00B01A06"/>
    <w:rsid w:val="00B04BCE"/>
    <w:rsid w:val="00B04D05"/>
    <w:rsid w:val="00B0501D"/>
    <w:rsid w:val="00B075B5"/>
    <w:rsid w:val="00B108CA"/>
    <w:rsid w:val="00B114B1"/>
    <w:rsid w:val="00B115A1"/>
    <w:rsid w:val="00B11AF6"/>
    <w:rsid w:val="00B11F01"/>
    <w:rsid w:val="00B1241E"/>
    <w:rsid w:val="00B1735E"/>
    <w:rsid w:val="00B17FC7"/>
    <w:rsid w:val="00B20D93"/>
    <w:rsid w:val="00B22235"/>
    <w:rsid w:val="00B22359"/>
    <w:rsid w:val="00B22C90"/>
    <w:rsid w:val="00B25D51"/>
    <w:rsid w:val="00B33104"/>
    <w:rsid w:val="00B33D92"/>
    <w:rsid w:val="00B36295"/>
    <w:rsid w:val="00B370A2"/>
    <w:rsid w:val="00B372F8"/>
    <w:rsid w:val="00B41BBD"/>
    <w:rsid w:val="00B42148"/>
    <w:rsid w:val="00B45CCB"/>
    <w:rsid w:val="00B4623D"/>
    <w:rsid w:val="00B47D31"/>
    <w:rsid w:val="00B55071"/>
    <w:rsid w:val="00B5616B"/>
    <w:rsid w:val="00B60276"/>
    <w:rsid w:val="00B60696"/>
    <w:rsid w:val="00B61489"/>
    <w:rsid w:val="00B62197"/>
    <w:rsid w:val="00B654D5"/>
    <w:rsid w:val="00B655D0"/>
    <w:rsid w:val="00B76544"/>
    <w:rsid w:val="00B806DE"/>
    <w:rsid w:val="00B80C51"/>
    <w:rsid w:val="00B81AD6"/>
    <w:rsid w:val="00B84F09"/>
    <w:rsid w:val="00B855E8"/>
    <w:rsid w:val="00B87868"/>
    <w:rsid w:val="00B90B00"/>
    <w:rsid w:val="00B94B9A"/>
    <w:rsid w:val="00B95293"/>
    <w:rsid w:val="00B96B9C"/>
    <w:rsid w:val="00B97052"/>
    <w:rsid w:val="00BA06E2"/>
    <w:rsid w:val="00BA286F"/>
    <w:rsid w:val="00BA3ADB"/>
    <w:rsid w:val="00BA51CA"/>
    <w:rsid w:val="00BA69EA"/>
    <w:rsid w:val="00BA6B69"/>
    <w:rsid w:val="00BA6D11"/>
    <w:rsid w:val="00BB4178"/>
    <w:rsid w:val="00BB4189"/>
    <w:rsid w:val="00BB489E"/>
    <w:rsid w:val="00BB54F4"/>
    <w:rsid w:val="00BB593F"/>
    <w:rsid w:val="00BC1FC0"/>
    <w:rsid w:val="00BC2847"/>
    <w:rsid w:val="00BC3BC9"/>
    <w:rsid w:val="00BD1580"/>
    <w:rsid w:val="00BD2A91"/>
    <w:rsid w:val="00BE22FF"/>
    <w:rsid w:val="00BE315E"/>
    <w:rsid w:val="00BE5BF1"/>
    <w:rsid w:val="00BE6B81"/>
    <w:rsid w:val="00BF05B3"/>
    <w:rsid w:val="00BF60A3"/>
    <w:rsid w:val="00C000A4"/>
    <w:rsid w:val="00C00495"/>
    <w:rsid w:val="00C02C00"/>
    <w:rsid w:val="00C04389"/>
    <w:rsid w:val="00C04955"/>
    <w:rsid w:val="00C06E5F"/>
    <w:rsid w:val="00C15383"/>
    <w:rsid w:val="00C15763"/>
    <w:rsid w:val="00C16A4D"/>
    <w:rsid w:val="00C16AF1"/>
    <w:rsid w:val="00C1774A"/>
    <w:rsid w:val="00C201AB"/>
    <w:rsid w:val="00C20687"/>
    <w:rsid w:val="00C20A5F"/>
    <w:rsid w:val="00C241B6"/>
    <w:rsid w:val="00C242E0"/>
    <w:rsid w:val="00C3001F"/>
    <w:rsid w:val="00C30643"/>
    <w:rsid w:val="00C31B67"/>
    <w:rsid w:val="00C31BE3"/>
    <w:rsid w:val="00C32805"/>
    <w:rsid w:val="00C32E93"/>
    <w:rsid w:val="00C34A2E"/>
    <w:rsid w:val="00C34CEF"/>
    <w:rsid w:val="00C350D0"/>
    <w:rsid w:val="00C362B8"/>
    <w:rsid w:val="00C41FB5"/>
    <w:rsid w:val="00C437CF"/>
    <w:rsid w:val="00C44786"/>
    <w:rsid w:val="00C45A01"/>
    <w:rsid w:val="00C47DAC"/>
    <w:rsid w:val="00C541F4"/>
    <w:rsid w:val="00C54435"/>
    <w:rsid w:val="00C5526C"/>
    <w:rsid w:val="00C60777"/>
    <w:rsid w:val="00C616B2"/>
    <w:rsid w:val="00C62381"/>
    <w:rsid w:val="00C62C36"/>
    <w:rsid w:val="00C75919"/>
    <w:rsid w:val="00C76B2E"/>
    <w:rsid w:val="00C8051A"/>
    <w:rsid w:val="00C80E25"/>
    <w:rsid w:val="00C80F99"/>
    <w:rsid w:val="00C83DB1"/>
    <w:rsid w:val="00C86204"/>
    <w:rsid w:val="00C86D86"/>
    <w:rsid w:val="00C91066"/>
    <w:rsid w:val="00C93CEE"/>
    <w:rsid w:val="00C94E41"/>
    <w:rsid w:val="00C94F4F"/>
    <w:rsid w:val="00C96009"/>
    <w:rsid w:val="00C96560"/>
    <w:rsid w:val="00C96EAC"/>
    <w:rsid w:val="00CA0B7C"/>
    <w:rsid w:val="00CA5254"/>
    <w:rsid w:val="00CA6332"/>
    <w:rsid w:val="00CB0641"/>
    <w:rsid w:val="00CB51EE"/>
    <w:rsid w:val="00CC01A8"/>
    <w:rsid w:val="00CC1049"/>
    <w:rsid w:val="00CC1338"/>
    <w:rsid w:val="00CC51AA"/>
    <w:rsid w:val="00CC6AE6"/>
    <w:rsid w:val="00CC7D82"/>
    <w:rsid w:val="00CD171C"/>
    <w:rsid w:val="00CD171E"/>
    <w:rsid w:val="00CD3695"/>
    <w:rsid w:val="00CD4129"/>
    <w:rsid w:val="00CD66DE"/>
    <w:rsid w:val="00CD796E"/>
    <w:rsid w:val="00CE01F9"/>
    <w:rsid w:val="00CE18C3"/>
    <w:rsid w:val="00CE34BA"/>
    <w:rsid w:val="00CE387F"/>
    <w:rsid w:val="00CE399F"/>
    <w:rsid w:val="00CE47AA"/>
    <w:rsid w:val="00CE5EB7"/>
    <w:rsid w:val="00CF143E"/>
    <w:rsid w:val="00CF29C4"/>
    <w:rsid w:val="00CF3B8E"/>
    <w:rsid w:val="00CF48BA"/>
    <w:rsid w:val="00CF4FBA"/>
    <w:rsid w:val="00D00550"/>
    <w:rsid w:val="00D0112E"/>
    <w:rsid w:val="00D017C7"/>
    <w:rsid w:val="00D04641"/>
    <w:rsid w:val="00D17021"/>
    <w:rsid w:val="00D22502"/>
    <w:rsid w:val="00D23CF7"/>
    <w:rsid w:val="00D31700"/>
    <w:rsid w:val="00D31BCC"/>
    <w:rsid w:val="00D33BD9"/>
    <w:rsid w:val="00D33E0E"/>
    <w:rsid w:val="00D34A67"/>
    <w:rsid w:val="00D366AA"/>
    <w:rsid w:val="00D460DB"/>
    <w:rsid w:val="00D4671E"/>
    <w:rsid w:val="00D470AE"/>
    <w:rsid w:val="00D505AC"/>
    <w:rsid w:val="00D51C35"/>
    <w:rsid w:val="00D5797D"/>
    <w:rsid w:val="00D634C9"/>
    <w:rsid w:val="00D66608"/>
    <w:rsid w:val="00D66B7D"/>
    <w:rsid w:val="00D66E52"/>
    <w:rsid w:val="00D679D2"/>
    <w:rsid w:val="00D67B44"/>
    <w:rsid w:val="00D710AE"/>
    <w:rsid w:val="00D711B6"/>
    <w:rsid w:val="00D7132B"/>
    <w:rsid w:val="00D72C33"/>
    <w:rsid w:val="00D73FAC"/>
    <w:rsid w:val="00D752CE"/>
    <w:rsid w:val="00D76037"/>
    <w:rsid w:val="00D77198"/>
    <w:rsid w:val="00D777EE"/>
    <w:rsid w:val="00D80E67"/>
    <w:rsid w:val="00D86AC4"/>
    <w:rsid w:val="00D9165B"/>
    <w:rsid w:val="00D93BE2"/>
    <w:rsid w:val="00D94270"/>
    <w:rsid w:val="00D95C58"/>
    <w:rsid w:val="00DA076F"/>
    <w:rsid w:val="00DA0805"/>
    <w:rsid w:val="00DA3D3C"/>
    <w:rsid w:val="00DA59A1"/>
    <w:rsid w:val="00DA7D90"/>
    <w:rsid w:val="00DB18C5"/>
    <w:rsid w:val="00DB383A"/>
    <w:rsid w:val="00DB588B"/>
    <w:rsid w:val="00DB7B63"/>
    <w:rsid w:val="00DC2F62"/>
    <w:rsid w:val="00DC6C1F"/>
    <w:rsid w:val="00DE7D96"/>
    <w:rsid w:val="00DF41BD"/>
    <w:rsid w:val="00DF55C7"/>
    <w:rsid w:val="00DF6279"/>
    <w:rsid w:val="00DF67A5"/>
    <w:rsid w:val="00E050C8"/>
    <w:rsid w:val="00E058C9"/>
    <w:rsid w:val="00E074D5"/>
    <w:rsid w:val="00E077C0"/>
    <w:rsid w:val="00E106D0"/>
    <w:rsid w:val="00E20A88"/>
    <w:rsid w:val="00E21096"/>
    <w:rsid w:val="00E21F04"/>
    <w:rsid w:val="00E243F3"/>
    <w:rsid w:val="00E24E54"/>
    <w:rsid w:val="00E30FF6"/>
    <w:rsid w:val="00E35A65"/>
    <w:rsid w:val="00E37524"/>
    <w:rsid w:val="00E41F00"/>
    <w:rsid w:val="00E41F34"/>
    <w:rsid w:val="00E43D5F"/>
    <w:rsid w:val="00E45C90"/>
    <w:rsid w:val="00E46772"/>
    <w:rsid w:val="00E47B30"/>
    <w:rsid w:val="00E47D6F"/>
    <w:rsid w:val="00E53E3B"/>
    <w:rsid w:val="00E543A2"/>
    <w:rsid w:val="00E553AC"/>
    <w:rsid w:val="00E5555E"/>
    <w:rsid w:val="00E5594F"/>
    <w:rsid w:val="00E56B11"/>
    <w:rsid w:val="00E56E59"/>
    <w:rsid w:val="00E6014E"/>
    <w:rsid w:val="00E61C2A"/>
    <w:rsid w:val="00E643AD"/>
    <w:rsid w:val="00E67672"/>
    <w:rsid w:val="00E718FE"/>
    <w:rsid w:val="00E71A7A"/>
    <w:rsid w:val="00E74E37"/>
    <w:rsid w:val="00E83432"/>
    <w:rsid w:val="00E84296"/>
    <w:rsid w:val="00E84562"/>
    <w:rsid w:val="00E873A5"/>
    <w:rsid w:val="00E87B8E"/>
    <w:rsid w:val="00E90C5D"/>
    <w:rsid w:val="00E92AAB"/>
    <w:rsid w:val="00E9627A"/>
    <w:rsid w:val="00E96BF8"/>
    <w:rsid w:val="00EA1183"/>
    <w:rsid w:val="00EA12E2"/>
    <w:rsid w:val="00EA148B"/>
    <w:rsid w:val="00EA7506"/>
    <w:rsid w:val="00EA7580"/>
    <w:rsid w:val="00EB0AAF"/>
    <w:rsid w:val="00EB248A"/>
    <w:rsid w:val="00EB3DE2"/>
    <w:rsid w:val="00EB42C5"/>
    <w:rsid w:val="00EB43F5"/>
    <w:rsid w:val="00EB4B1C"/>
    <w:rsid w:val="00EC1FD2"/>
    <w:rsid w:val="00EC3131"/>
    <w:rsid w:val="00ED009C"/>
    <w:rsid w:val="00ED4390"/>
    <w:rsid w:val="00ED63B5"/>
    <w:rsid w:val="00EE21F8"/>
    <w:rsid w:val="00EE5D36"/>
    <w:rsid w:val="00EF007E"/>
    <w:rsid w:val="00EF0FDB"/>
    <w:rsid w:val="00EF4D67"/>
    <w:rsid w:val="00F01199"/>
    <w:rsid w:val="00F0501F"/>
    <w:rsid w:val="00F06226"/>
    <w:rsid w:val="00F1536A"/>
    <w:rsid w:val="00F23CD8"/>
    <w:rsid w:val="00F26BBC"/>
    <w:rsid w:val="00F27ECC"/>
    <w:rsid w:val="00F311FA"/>
    <w:rsid w:val="00F34611"/>
    <w:rsid w:val="00F350EA"/>
    <w:rsid w:val="00F35BCC"/>
    <w:rsid w:val="00F41E21"/>
    <w:rsid w:val="00F46170"/>
    <w:rsid w:val="00F4649A"/>
    <w:rsid w:val="00F469A6"/>
    <w:rsid w:val="00F50CDA"/>
    <w:rsid w:val="00F50E1B"/>
    <w:rsid w:val="00F51BD1"/>
    <w:rsid w:val="00F56602"/>
    <w:rsid w:val="00F56E95"/>
    <w:rsid w:val="00F57346"/>
    <w:rsid w:val="00F57790"/>
    <w:rsid w:val="00F57F92"/>
    <w:rsid w:val="00F601E8"/>
    <w:rsid w:val="00F6309E"/>
    <w:rsid w:val="00F653FB"/>
    <w:rsid w:val="00F67712"/>
    <w:rsid w:val="00F67AA4"/>
    <w:rsid w:val="00F67BF5"/>
    <w:rsid w:val="00F73857"/>
    <w:rsid w:val="00F73BF1"/>
    <w:rsid w:val="00F85143"/>
    <w:rsid w:val="00F85689"/>
    <w:rsid w:val="00F860AF"/>
    <w:rsid w:val="00F8791D"/>
    <w:rsid w:val="00F9175C"/>
    <w:rsid w:val="00F91AC8"/>
    <w:rsid w:val="00F92465"/>
    <w:rsid w:val="00F9328C"/>
    <w:rsid w:val="00F93896"/>
    <w:rsid w:val="00F93A64"/>
    <w:rsid w:val="00F943B0"/>
    <w:rsid w:val="00FA0FDB"/>
    <w:rsid w:val="00FA45C8"/>
    <w:rsid w:val="00FB0A8B"/>
    <w:rsid w:val="00FB0CC9"/>
    <w:rsid w:val="00FB1FF7"/>
    <w:rsid w:val="00FB2EEC"/>
    <w:rsid w:val="00FB2F30"/>
    <w:rsid w:val="00FB65EE"/>
    <w:rsid w:val="00FB74C2"/>
    <w:rsid w:val="00FB7868"/>
    <w:rsid w:val="00FB7ECB"/>
    <w:rsid w:val="00FC0F66"/>
    <w:rsid w:val="00FC1CF1"/>
    <w:rsid w:val="00FC3F23"/>
    <w:rsid w:val="00FC629C"/>
    <w:rsid w:val="00FD03D6"/>
    <w:rsid w:val="00FD0875"/>
    <w:rsid w:val="00FD1ACD"/>
    <w:rsid w:val="00FD3F94"/>
    <w:rsid w:val="00FD4A4C"/>
    <w:rsid w:val="00FD5296"/>
    <w:rsid w:val="00FE1A0E"/>
    <w:rsid w:val="00FE4788"/>
    <w:rsid w:val="00FF2CA7"/>
    <w:rsid w:val="00FF6968"/>
    <w:rsid w:val="00FF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723C"/>
  <w15:chartTrackingRefBased/>
  <w15:docId w15:val="{0018A7EF-F312-4F37-8AAE-2A5FF665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97"/>
    <w:rPr>
      <w:rFonts w:ascii="Calibri" w:hAnsi="Calibri"/>
      <w:sz w:val="22"/>
    </w:rPr>
  </w:style>
  <w:style w:type="paragraph" w:styleId="Heading1">
    <w:name w:val="heading 1"/>
    <w:basedOn w:val="Normal"/>
    <w:next w:val="Normal"/>
    <w:link w:val="Heading1Char"/>
    <w:uiPriority w:val="9"/>
    <w:qFormat/>
    <w:rsid w:val="004A3AF8"/>
    <w:pPr>
      <w:keepNext/>
      <w:keepLines/>
      <w:spacing w:before="360" w:after="80"/>
      <w:outlineLvl w:val="0"/>
    </w:pPr>
    <w:rPr>
      <w:rFonts w:eastAsiaTheme="majorEastAsia"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4A3AF8"/>
    <w:pPr>
      <w:keepNext/>
      <w:keepLines/>
      <w:spacing w:before="160" w:after="80"/>
      <w:outlineLvl w:val="1"/>
    </w:pPr>
    <w:rPr>
      <w:rFonts w:eastAsiaTheme="majorEastAsia" w:cstheme="majorBidi"/>
      <w:b/>
      <w:color w:val="0F4761" w:themeColor="accent1" w:themeShade="BF"/>
      <w:sz w:val="28"/>
      <w:szCs w:val="32"/>
    </w:rPr>
  </w:style>
  <w:style w:type="paragraph" w:styleId="Heading3">
    <w:name w:val="heading 3"/>
    <w:basedOn w:val="Normal"/>
    <w:next w:val="Normal"/>
    <w:link w:val="Heading3Char"/>
    <w:uiPriority w:val="9"/>
    <w:unhideWhenUsed/>
    <w:qFormat/>
    <w:rsid w:val="004A3AF8"/>
    <w:pPr>
      <w:keepNext/>
      <w:keepLines/>
      <w:spacing w:before="160" w:after="80" w:line="240" w:lineRule="auto"/>
      <w:outlineLvl w:val="2"/>
    </w:pPr>
    <w:rPr>
      <w:rFonts w:eastAsiaTheme="majorEastAsia" w:cstheme="majorBidi"/>
      <w:b/>
      <w:color w:val="0F4761" w:themeColor="accent1" w:themeShade="BF"/>
      <w:sz w:val="24"/>
      <w:szCs w:val="28"/>
      <w:u w:val="single"/>
    </w:rPr>
  </w:style>
  <w:style w:type="paragraph" w:styleId="Heading4">
    <w:name w:val="heading 4"/>
    <w:basedOn w:val="Normal"/>
    <w:next w:val="Normal"/>
    <w:link w:val="Heading4Char"/>
    <w:uiPriority w:val="9"/>
    <w:semiHidden/>
    <w:unhideWhenUsed/>
    <w:qFormat/>
    <w:rsid w:val="00810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AF8"/>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4A3AF8"/>
    <w:rPr>
      <w:rFonts w:ascii="Calibri" w:eastAsiaTheme="majorEastAsia" w:hAnsi="Calibri" w:cstheme="majorBidi"/>
      <w:b/>
      <w:color w:val="0F4761" w:themeColor="accent1" w:themeShade="BF"/>
      <w:sz w:val="28"/>
      <w:szCs w:val="32"/>
    </w:rPr>
  </w:style>
  <w:style w:type="character" w:customStyle="1" w:styleId="Heading3Char">
    <w:name w:val="Heading 3 Char"/>
    <w:basedOn w:val="DefaultParagraphFont"/>
    <w:link w:val="Heading3"/>
    <w:uiPriority w:val="9"/>
    <w:rsid w:val="004A3AF8"/>
    <w:rPr>
      <w:rFonts w:ascii="Calibri" w:eastAsiaTheme="majorEastAsia" w:hAnsi="Calibri" w:cstheme="majorBidi"/>
      <w:b/>
      <w:color w:val="0F4761" w:themeColor="accent1" w:themeShade="BF"/>
      <w:szCs w:val="28"/>
      <w:u w:val="single"/>
    </w:rPr>
  </w:style>
  <w:style w:type="character" w:customStyle="1" w:styleId="Heading4Char">
    <w:name w:val="Heading 4 Char"/>
    <w:basedOn w:val="DefaultParagraphFont"/>
    <w:link w:val="Heading4"/>
    <w:uiPriority w:val="9"/>
    <w:semiHidden/>
    <w:rsid w:val="00810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A46"/>
    <w:rPr>
      <w:rFonts w:eastAsiaTheme="majorEastAsia" w:cstheme="majorBidi"/>
      <w:color w:val="272727" w:themeColor="text1" w:themeTint="D8"/>
    </w:rPr>
  </w:style>
  <w:style w:type="paragraph" w:styleId="Title">
    <w:name w:val="Title"/>
    <w:basedOn w:val="Normal"/>
    <w:next w:val="Normal"/>
    <w:link w:val="TitleChar"/>
    <w:uiPriority w:val="10"/>
    <w:qFormat/>
    <w:rsid w:val="00C94F4F"/>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94F4F"/>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810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A46"/>
    <w:pPr>
      <w:spacing w:before="160"/>
      <w:jc w:val="center"/>
    </w:pPr>
    <w:rPr>
      <w:i/>
      <w:iCs/>
      <w:color w:val="404040" w:themeColor="text1" w:themeTint="BF"/>
    </w:rPr>
  </w:style>
  <w:style w:type="character" w:customStyle="1" w:styleId="QuoteChar">
    <w:name w:val="Quote Char"/>
    <w:basedOn w:val="DefaultParagraphFont"/>
    <w:link w:val="Quote"/>
    <w:uiPriority w:val="29"/>
    <w:rsid w:val="00810A46"/>
    <w:rPr>
      <w:i/>
      <w:iCs/>
      <w:color w:val="404040" w:themeColor="text1" w:themeTint="BF"/>
    </w:rPr>
  </w:style>
  <w:style w:type="paragraph" w:styleId="ListParagraph">
    <w:name w:val="List Paragraph"/>
    <w:basedOn w:val="Normal"/>
    <w:qFormat/>
    <w:rsid w:val="00810A46"/>
    <w:pPr>
      <w:ind w:left="720"/>
      <w:contextualSpacing/>
    </w:pPr>
  </w:style>
  <w:style w:type="character" w:styleId="IntenseEmphasis">
    <w:name w:val="Intense Emphasis"/>
    <w:basedOn w:val="DefaultParagraphFont"/>
    <w:uiPriority w:val="21"/>
    <w:qFormat/>
    <w:rsid w:val="00810A46"/>
    <w:rPr>
      <w:i/>
      <w:iCs/>
      <w:color w:val="0F4761" w:themeColor="accent1" w:themeShade="BF"/>
    </w:rPr>
  </w:style>
  <w:style w:type="paragraph" w:styleId="IntenseQuote">
    <w:name w:val="Intense Quote"/>
    <w:basedOn w:val="Normal"/>
    <w:next w:val="Normal"/>
    <w:link w:val="IntenseQuoteChar"/>
    <w:uiPriority w:val="30"/>
    <w:qFormat/>
    <w:rsid w:val="00810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A46"/>
    <w:rPr>
      <w:i/>
      <w:iCs/>
      <w:color w:val="0F4761" w:themeColor="accent1" w:themeShade="BF"/>
    </w:rPr>
  </w:style>
  <w:style w:type="character" w:styleId="IntenseReference">
    <w:name w:val="Intense Reference"/>
    <w:basedOn w:val="DefaultParagraphFont"/>
    <w:uiPriority w:val="32"/>
    <w:qFormat/>
    <w:rsid w:val="00810A46"/>
    <w:rPr>
      <w:b/>
      <w:bCs/>
      <w:smallCaps/>
      <w:color w:val="0F4761" w:themeColor="accent1" w:themeShade="BF"/>
      <w:spacing w:val="5"/>
    </w:rPr>
  </w:style>
  <w:style w:type="paragraph" w:styleId="TOCHeading">
    <w:name w:val="TOC Heading"/>
    <w:basedOn w:val="Heading1"/>
    <w:next w:val="Normal"/>
    <w:uiPriority w:val="39"/>
    <w:unhideWhenUsed/>
    <w:qFormat/>
    <w:rsid w:val="00C0049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00495"/>
    <w:pPr>
      <w:spacing w:after="100"/>
    </w:pPr>
  </w:style>
  <w:style w:type="paragraph" w:styleId="TOC2">
    <w:name w:val="toc 2"/>
    <w:basedOn w:val="Normal"/>
    <w:next w:val="Normal"/>
    <w:autoRedefine/>
    <w:uiPriority w:val="39"/>
    <w:unhideWhenUsed/>
    <w:rsid w:val="00C00495"/>
    <w:pPr>
      <w:spacing w:after="100"/>
      <w:ind w:left="240"/>
    </w:pPr>
  </w:style>
  <w:style w:type="paragraph" w:styleId="TOC3">
    <w:name w:val="toc 3"/>
    <w:basedOn w:val="Normal"/>
    <w:next w:val="Normal"/>
    <w:autoRedefine/>
    <w:uiPriority w:val="39"/>
    <w:unhideWhenUsed/>
    <w:rsid w:val="00C00495"/>
    <w:pPr>
      <w:spacing w:after="100"/>
      <w:ind w:left="480"/>
    </w:pPr>
  </w:style>
  <w:style w:type="character" w:styleId="Hyperlink">
    <w:name w:val="Hyperlink"/>
    <w:basedOn w:val="DefaultParagraphFont"/>
    <w:uiPriority w:val="99"/>
    <w:unhideWhenUsed/>
    <w:rsid w:val="00C00495"/>
    <w:rPr>
      <w:color w:val="467886" w:themeColor="hyperlink"/>
      <w:u w:val="single"/>
    </w:rPr>
  </w:style>
  <w:style w:type="character" w:styleId="UnresolvedMention">
    <w:name w:val="Unresolved Mention"/>
    <w:basedOn w:val="DefaultParagraphFont"/>
    <w:uiPriority w:val="99"/>
    <w:semiHidden/>
    <w:unhideWhenUsed/>
    <w:rsid w:val="00123552"/>
    <w:rPr>
      <w:color w:val="605E5C"/>
      <w:shd w:val="clear" w:color="auto" w:fill="E1DFDD"/>
    </w:rPr>
  </w:style>
  <w:style w:type="table" w:styleId="TableGrid">
    <w:name w:val="Table Grid"/>
    <w:basedOn w:val="TableNormal"/>
    <w:uiPriority w:val="39"/>
    <w:rsid w:val="00747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F9328C"/>
    <w:pPr>
      <w:spacing w:after="200" w:line="240" w:lineRule="auto"/>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E553AC"/>
    <w:rPr>
      <w:b/>
      <w:bCs/>
    </w:rPr>
  </w:style>
  <w:style w:type="character" w:customStyle="1" w:styleId="CommentSubjectChar">
    <w:name w:val="Comment Subject Char"/>
    <w:basedOn w:val="CommentTextChar"/>
    <w:link w:val="CommentSubject"/>
    <w:uiPriority w:val="99"/>
    <w:semiHidden/>
    <w:rsid w:val="00E553AC"/>
    <w:rPr>
      <w:b/>
      <w:bCs/>
      <w:sz w:val="20"/>
      <w:szCs w:val="20"/>
    </w:rPr>
  </w:style>
  <w:style w:type="paragraph" w:styleId="Header">
    <w:name w:val="header"/>
    <w:basedOn w:val="Normal"/>
    <w:link w:val="HeaderChar"/>
    <w:uiPriority w:val="99"/>
    <w:unhideWhenUsed/>
    <w:rsid w:val="000C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372"/>
    <w:rPr>
      <w:rFonts w:ascii="Calibri" w:hAnsi="Calibri"/>
      <w:sz w:val="22"/>
    </w:rPr>
  </w:style>
  <w:style w:type="paragraph" w:styleId="Footer">
    <w:name w:val="footer"/>
    <w:basedOn w:val="Normal"/>
    <w:link w:val="FooterChar"/>
    <w:uiPriority w:val="99"/>
    <w:unhideWhenUsed/>
    <w:rsid w:val="000C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372"/>
    <w:rPr>
      <w:rFonts w:ascii="Calibri" w:hAnsi="Calibri"/>
      <w:sz w:val="22"/>
    </w:rPr>
  </w:style>
  <w:style w:type="character" w:styleId="FollowedHyperlink">
    <w:name w:val="FollowedHyperlink"/>
    <w:basedOn w:val="DefaultParagraphFont"/>
    <w:uiPriority w:val="99"/>
    <w:semiHidden/>
    <w:unhideWhenUsed/>
    <w:rsid w:val="00AD76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upano/"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F11F-2821-4B17-9013-C66C6385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48</Pages>
  <Words>15727</Words>
  <Characters>89646</Characters>
  <Application>Microsoft Office Word</Application>
  <DocSecurity>8</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Cupano</dc:creator>
  <cp:keywords/>
  <dc:description/>
  <cp:lastModifiedBy>Joe Cupano</cp:lastModifiedBy>
  <cp:revision>315</cp:revision>
  <cp:lastPrinted>2026-03-07T11:30:00Z</cp:lastPrinted>
  <dcterms:created xsi:type="dcterms:W3CDTF">2026-03-09T06:05:00Z</dcterms:created>
  <dcterms:modified xsi:type="dcterms:W3CDTF">2026-03-10T15:22:00Z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